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D43F" w14:textId="77777777" w:rsidR="00602A45" w:rsidRPr="003451A1" w:rsidRDefault="00602A45" w:rsidP="002B5FE7">
      <w:pPr>
        <w:tabs>
          <w:tab w:val="left" w:pos="576"/>
          <w:tab w:val="left" w:pos="1296"/>
          <w:tab w:val="left" w:pos="2016"/>
          <w:tab w:val="left" w:pos="2592"/>
          <w:tab w:val="left" w:pos="5616"/>
          <w:tab w:val="left" w:pos="8496"/>
        </w:tabs>
        <w:spacing w:line="240" w:lineRule="atLeast"/>
        <w:jc w:val="both"/>
        <w:rPr>
          <w:szCs w:val="24"/>
        </w:rPr>
      </w:pPr>
      <w:r>
        <w:rPr>
          <w:rFonts w:ascii="Helvetica" w:hAnsi="Helvetica"/>
          <w:sz w:val="20"/>
        </w:rPr>
        <w:tab/>
      </w:r>
      <w:r w:rsidRPr="003451A1">
        <w:rPr>
          <w:szCs w:val="24"/>
        </w:rPr>
        <w:tab/>
      </w:r>
      <w:r w:rsidRPr="003451A1">
        <w:rPr>
          <w:szCs w:val="24"/>
        </w:rPr>
        <w:tab/>
      </w:r>
      <w:r w:rsidRPr="003451A1">
        <w:rPr>
          <w:szCs w:val="24"/>
        </w:rPr>
        <w:tab/>
        <w:t>EMPLOYEE CONFLICT OF INTEREST</w:t>
      </w:r>
    </w:p>
    <w:p w14:paraId="122B46A3"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p>
    <w:p w14:paraId="21419536"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r w:rsidRPr="003451A1">
        <w:rPr>
          <w:szCs w:val="24"/>
        </w:rPr>
        <w:t>Employees' use of their position with the school district for financial gain shall be considered a conflict of interest with their position as employees and may subject employees to disciplinary action.</w:t>
      </w:r>
    </w:p>
    <w:p w14:paraId="6C0602B8"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p>
    <w:p w14:paraId="3DA33F56"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r w:rsidRPr="003451A1">
        <w:rPr>
          <w:szCs w:val="24"/>
        </w:rPr>
        <w:t>Employees have access to information and a captive audience that could award the employee personal or financial gain.  No employee may solicit other employees or students for personal or financial gain to the employee without the approval of the superintendent.  If the approval of the superintendent is given, the employee must conduct the solicitations within the conditions set by the superintendent.  Further, the superintendent may, upon five days notice, require the employee to cease such solicitations as a condition of continued employment.</w:t>
      </w:r>
    </w:p>
    <w:p w14:paraId="3AC18EB3"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p>
    <w:p w14:paraId="2E8C354E"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r w:rsidRPr="003451A1">
        <w:rPr>
          <w:szCs w:val="24"/>
        </w:rPr>
        <w:t>Employees shall not act as an agent or dealer for the sale of textbooks or other school supplies.  Employees shall not participate for personal financial remuneration in outside activities wherein their position on the staff is used to sell goods or services to students or to parents.  Employees shall not engage in outside work or activities where the source of information concerning the customer, client or employer originates from information obtained because of the employee's position in the school district.</w:t>
      </w:r>
    </w:p>
    <w:p w14:paraId="53E5C7BA"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p>
    <w:p w14:paraId="312C14F8" w14:textId="77777777" w:rsidR="002B5FE7" w:rsidRPr="003451A1" w:rsidRDefault="002B5FE7" w:rsidP="002B5FE7">
      <w:pPr>
        <w:tabs>
          <w:tab w:val="left" w:pos="576"/>
          <w:tab w:val="left" w:pos="1080"/>
          <w:tab w:val="left" w:pos="1800"/>
          <w:tab w:val="left" w:pos="2376"/>
          <w:tab w:val="left" w:pos="5400"/>
          <w:tab w:val="left" w:pos="8280"/>
        </w:tabs>
        <w:spacing w:line="240" w:lineRule="atLeast"/>
        <w:jc w:val="both"/>
        <w:rPr>
          <w:szCs w:val="24"/>
        </w:rPr>
      </w:pPr>
      <w:r w:rsidRPr="003451A1">
        <w:rPr>
          <w:szCs w:val="24"/>
        </w:rPr>
        <w:t>It shall also be a conflict of interest for an employee to engage in any outside employment or activity that is in conflict with the employee's official duties and responsibilities.  In determining whether outside employment or activity of an employee creates a conflict of interest, situations in which an unacceptable conflict of interest shall be deemed to exist shall include, but not be limited to, the outside employment or activity involves the use of the school district's time, facilities, equipment and supplies, or the outside employment or activity involves the receipt of, promise of, or acceptance of more or other consideration by the employee or a member of the employee's immediate family from anyone other than the school district for the performance of any act that the employee would be required or expected to perform as part of the employee's regular duties or during the hours during which the employee performs service or work for the school district.</w:t>
      </w:r>
    </w:p>
    <w:p w14:paraId="032D453D"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center"/>
        <w:rPr>
          <w:szCs w:val="24"/>
        </w:rPr>
      </w:pPr>
    </w:p>
    <w:p w14:paraId="7AC5F226"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r w:rsidRPr="003451A1">
        <w:rPr>
          <w:szCs w:val="24"/>
        </w:rPr>
        <w:t>It shall be the responsibility of each employee to be aware of and take the necessary action to eliminate a potential conflict of interest should it arise.</w:t>
      </w:r>
    </w:p>
    <w:p w14:paraId="16E79678"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p>
    <w:p w14:paraId="4D842AF9"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r w:rsidRPr="003451A1">
        <w:rPr>
          <w:szCs w:val="24"/>
        </w:rPr>
        <w:t>Legal Reference:</w:t>
      </w:r>
      <w:r w:rsidRPr="003451A1">
        <w:rPr>
          <w:szCs w:val="24"/>
        </w:rPr>
        <w:tab/>
        <w:t>Nebraska Code §§ 49-1401 to 49-14,139</w:t>
      </w:r>
    </w:p>
    <w:p w14:paraId="627160D5"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p>
    <w:p w14:paraId="329CA512" w14:textId="77777777" w:rsidR="002B5FE7" w:rsidRPr="003451A1" w:rsidRDefault="002B5FE7" w:rsidP="002B5FE7">
      <w:pPr>
        <w:tabs>
          <w:tab w:val="left" w:pos="576"/>
          <w:tab w:val="left" w:pos="1296"/>
          <w:tab w:val="left" w:pos="2016"/>
          <w:tab w:val="left" w:pos="2592"/>
          <w:tab w:val="left" w:pos="5616"/>
          <w:tab w:val="left" w:pos="8496"/>
        </w:tabs>
        <w:spacing w:line="240" w:lineRule="atLeast"/>
        <w:jc w:val="both"/>
        <w:rPr>
          <w:szCs w:val="24"/>
        </w:rPr>
      </w:pPr>
      <w:r w:rsidRPr="003451A1">
        <w:rPr>
          <w:szCs w:val="24"/>
        </w:rPr>
        <w:t>Cross Reference:</w:t>
      </w:r>
      <w:r w:rsidRPr="003451A1">
        <w:rPr>
          <w:szCs w:val="24"/>
        </w:rPr>
        <w:tab/>
        <w:t>9030</w:t>
      </w:r>
      <w:r w:rsidRPr="003451A1">
        <w:rPr>
          <w:szCs w:val="24"/>
        </w:rPr>
        <w:tab/>
        <w:t>Board of Directors' Conflict of Interest</w:t>
      </w:r>
    </w:p>
    <w:p w14:paraId="3E756746" w14:textId="77777777" w:rsidR="002B5FE7" w:rsidRDefault="002B5FE7" w:rsidP="002B5FE7">
      <w:pPr>
        <w:tabs>
          <w:tab w:val="left" w:pos="576"/>
          <w:tab w:val="left" w:pos="1296"/>
          <w:tab w:val="left" w:pos="2016"/>
          <w:tab w:val="left" w:pos="2592"/>
          <w:tab w:val="left" w:pos="5616"/>
          <w:tab w:val="left" w:pos="8496"/>
        </w:tabs>
        <w:spacing w:line="240" w:lineRule="atLeast"/>
        <w:jc w:val="both"/>
        <w:rPr>
          <w:szCs w:val="24"/>
        </w:rPr>
      </w:pPr>
      <w:r w:rsidRPr="003451A1">
        <w:rPr>
          <w:szCs w:val="24"/>
        </w:rPr>
        <w:tab/>
      </w:r>
      <w:r w:rsidRPr="003451A1">
        <w:rPr>
          <w:szCs w:val="24"/>
        </w:rPr>
        <w:tab/>
      </w:r>
      <w:r w:rsidRPr="003451A1">
        <w:rPr>
          <w:szCs w:val="24"/>
        </w:rPr>
        <w:tab/>
      </w:r>
    </w:p>
    <w:p w14:paraId="3907CA10" w14:textId="77777777" w:rsidR="002B5FE7" w:rsidRDefault="002B5FE7" w:rsidP="002B5FE7">
      <w:pPr>
        <w:widowControl w:val="0"/>
        <w:spacing w:line="0" w:lineRule="atLeast"/>
        <w:jc w:val="both"/>
        <w:rPr>
          <w:szCs w:val="24"/>
        </w:rPr>
      </w:pPr>
      <w:r>
        <w:t xml:space="preserve">Adopted: </w:t>
      </w:r>
      <w:r>
        <w:rPr>
          <w:szCs w:val="24"/>
        </w:rPr>
        <w:t>July 11, 2005</w:t>
      </w:r>
    </w:p>
    <w:p w14:paraId="7ADF9549" w14:textId="77777777" w:rsidR="00617D58" w:rsidRDefault="002B5FE7" w:rsidP="002B5FE7">
      <w:pPr>
        <w:widowControl w:val="0"/>
        <w:spacing w:line="0" w:lineRule="atLeast"/>
        <w:jc w:val="both"/>
        <w:rPr>
          <w:szCs w:val="24"/>
        </w:rPr>
      </w:pPr>
      <w:r>
        <w:rPr>
          <w:szCs w:val="24"/>
        </w:rPr>
        <w:t>Reviewed: May 12, 2008, May 11, 2009, May 10, 2010, May 9, 2011, Dec. 12, 2011</w:t>
      </w:r>
      <w:r w:rsidR="00617D58">
        <w:rPr>
          <w:szCs w:val="24"/>
        </w:rPr>
        <w:t xml:space="preserve">, </w:t>
      </w:r>
    </w:p>
    <w:p w14:paraId="6E6F0AAD" w14:textId="4B43559E" w:rsidR="002B5FE7" w:rsidRPr="003451A1" w:rsidRDefault="00617D58" w:rsidP="002B5FE7">
      <w:pPr>
        <w:widowControl w:val="0"/>
        <w:spacing w:line="0" w:lineRule="atLeast"/>
        <w:jc w:val="both"/>
      </w:pPr>
      <w:r>
        <w:rPr>
          <w:szCs w:val="24"/>
        </w:rPr>
        <w:t>Mar. 11, 2013</w:t>
      </w:r>
      <w:r w:rsidR="00897938">
        <w:rPr>
          <w:szCs w:val="24"/>
        </w:rPr>
        <w:t>, Feb. 10, 2014</w:t>
      </w:r>
      <w:r w:rsidR="004B19B1">
        <w:rPr>
          <w:szCs w:val="24"/>
        </w:rPr>
        <w:t>, Feb. 9, 2015</w:t>
      </w:r>
      <w:r w:rsidR="00CA2C7A">
        <w:rPr>
          <w:szCs w:val="24"/>
        </w:rPr>
        <w:t>, Feb. 8, 2016</w:t>
      </w:r>
      <w:r w:rsidR="00F473BF">
        <w:rPr>
          <w:szCs w:val="24"/>
        </w:rPr>
        <w:t>, Feb. 13, 2017</w:t>
      </w:r>
      <w:r w:rsidR="00B526F7">
        <w:rPr>
          <w:szCs w:val="24"/>
        </w:rPr>
        <w:t>, Feb. 12, 2018</w:t>
      </w:r>
      <w:r w:rsidR="00EF6E21">
        <w:rPr>
          <w:szCs w:val="24"/>
        </w:rPr>
        <w:t>, Feb. 11, 2019</w:t>
      </w:r>
      <w:r w:rsidR="00885C8F">
        <w:rPr>
          <w:szCs w:val="24"/>
        </w:rPr>
        <w:t>, Mar. 9, 2020</w:t>
      </w:r>
      <w:r w:rsidR="0034451A">
        <w:rPr>
          <w:szCs w:val="24"/>
        </w:rPr>
        <w:t>, Mar. 8, 2021</w:t>
      </w:r>
      <w:r w:rsidR="00922DCE">
        <w:rPr>
          <w:szCs w:val="24"/>
        </w:rPr>
        <w:t>, Mar. 1</w:t>
      </w:r>
      <w:r w:rsidR="005615B3">
        <w:rPr>
          <w:szCs w:val="24"/>
        </w:rPr>
        <w:t>4</w:t>
      </w:r>
      <w:r w:rsidR="00922DCE">
        <w:rPr>
          <w:szCs w:val="24"/>
        </w:rPr>
        <w:t>, 2022</w:t>
      </w:r>
      <w:r w:rsidR="00207211">
        <w:rPr>
          <w:szCs w:val="24"/>
        </w:rPr>
        <w:t>, Mar. 13, 2023</w:t>
      </w:r>
      <w:r w:rsidR="00BC0E18">
        <w:rPr>
          <w:szCs w:val="24"/>
        </w:rPr>
        <w:t>, Mar. 18, 2024</w:t>
      </w:r>
      <w:r w:rsidR="00DC6F9E">
        <w:rPr>
          <w:szCs w:val="24"/>
        </w:rPr>
        <w:t>, Mar 17, 2025</w:t>
      </w:r>
    </w:p>
    <w:sectPr w:rsidR="002B5FE7" w:rsidRPr="003451A1">
      <w:headerReference w:type="even" r:id="rId6"/>
      <w:headerReference w:type="default" r:id="rId7"/>
      <w:footerReference w:type="even" r:id="rId8"/>
      <w:footerReference w:type="default" r:id="rId9"/>
      <w:footnotePr>
        <w:numFmt w:val="lowerLetter"/>
      </w:footnotePr>
      <w:endnotePr>
        <w:numFmt w:val="lowerLetter"/>
      </w:endnotePr>
      <w:pgSz w:w="12240" w:h="15840"/>
      <w:pgMar w:top="1459" w:right="1440" w:bottom="2258"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643D3" w14:textId="77777777" w:rsidR="00B621C3" w:rsidRDefault="00B621C3">
      <w:r>
        <w:separator/>
      </w:r>
    </w:p>
  </w:endnote>
  <w:endnote w:type="continuationSeparator" w:id="0">
    <w:p w14:paraId="1EF59F01" w14:textId="77777777" w:rsidR="00B621C3" w:rsidRDefault="00B6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309020205020404"/>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C012" w14:textId="77777777" w:rsidR="00CA2C7A" w:rsidRDefault="00CA2C7A">
    <w:pPr>
      <w:framePr w:wrap="notBeside" w:vAnchor="page" w:hAnchor="text" w:x="4679"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anish/>
      </w:rPr>
    </w:pPr>
  </w:p>
  <w:p w14:paraId="557B3620" w14:textId="77777777" w:rsidR="00CA2C7A" w:rsidRDefault="00C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Page </w:t>
    </w:r>
    <w:r>
      <w:pgNum/>
    </w:r>
    <w:r>
      <w:t xml:space="preserve"> of  </w:t>
    </w:r>
    <w:fldSimple w:instr=" NUMPAGES \* arabic \* MERGEFORMAT ">
      <w:r>
        <w:rPr>
          <w:noProof/>
        </w:rPr>
        <w:t>1</w:t>
      </w:r>
    </w:fldSimple>
  </w:p>
  <w:p w14:paraId="72D83D51" w14:textId="77777777" w:rsidR="00CA2C7A" w:rsidRDefault="00CA2C7A">
    <w:pPr>
      <w:framePr w:wrap="notBeside" w:vAnchor="page" w:hAnchor="text"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vanish/>
      </w:rPr>
    </w:pPr>
  </w:p>
  <w:p w14:paraId="6CB54881" w14:textId="77777777" w:rsidR="00CA2C7A" w:rsidRDefault="00C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D460" w14:textId="77777777" w:rsidR="00CA2C7A" w:rsidRDefault="00CA2C7A">
    <w:pPr>
      <w:framePr w:wrap="notBeside" w:vAnchor="page" w:hAnchor="text" w:x="4679"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anish/>
      </w:rPr>
    </w:pPr>
  </w:p>
  <w:p w14:paraId="18E62778" w14:textId="77777777" w:rsidR="00CA2C7A" w:rsidRDefault="00C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Page </w:t>
    </w:r>
    <w:r>
      <w:pgNum/>
    </w:r>
    <w:r>
      <w:t xml:space="preserve"> of </w:t>
    </w:r>
    <w:fldSimple w:instr=" NUMPAGES \* arabic \* MERGEFORMAT ">
      <w:r w:rsidR="005615B3">
        <w:rPr>
          <w:noProof/>
        </w:rPr>
        <w:t>1</w:t>
      </w:r>
    </w:fldSimple>
  </w:p>
  <w:p w14:paraId="5084E0BD" w14:textId="77777777" w:rsidR="00CA2C7A" w:rsidRDefault="00CA2C7A">
    <w:pPr>
      <w:framePr w:wrap="notBeside" w:vAnchor="page" w:hAnchor="text" w:y="1353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vanish/>
      </w:rPr>
    </w:pPr>
  </w:p>
  <w:p w14:paraId="14AE8AB4" w14:textId="77777777" w:rsidR="00CA2C7A" w:rsidRDefault="00C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37D3" w14:textId="77777777" w:rsidR="00B621C3" w:rsidRDefault="00B621C3">
      <w:r>
        <w:separator/>
      </w:r>
    </w:p>
  </w:footnote>
  <w:footnote w:type="continuationSeparator" w:id="0">
    <w:p w14:paraId="2BC7AD50" w14:textId="77777777" w:rsidR="00B621C3" w:rsidRDefault="00B6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520B" w14:textId="77777777" w:rsidR="00CA2C7A" w:rsidRDefault="00CA2C7A">
    <w:pPr>
      <w:tabs>
        <w:tab w:val="left" w:pos="0"/>
        <w:tab w:val="center" w:pos="4680"/>
        <w:tab w:val="right" w:pos="9356"/>
      </w:tabs>
      <w:spacing w:line="0" w:lineRule="atLeast"/>
    </w:pPr>
    <w:r>
      <w:t>Article 1</w:t>
    </w:r>
    <w:r>
      <w:rPr>
        <w:b/>
      </w:rPr>
      <w:tab/>
      <w:t>COMMUNITY RELATIONS</w:t>
    </w:r>
    <w:r>
      <w:tab/>
      <w:t>Policy No. 4018</w:t>
    </w:r>
  </w:p>
  <w:p w14:paraId="323A2E90" w14:textId="77777777" w:rsidR="00CA2C7A" w:rsidRDefault="00C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F3B2" w14:textId="77777777" w:rsidR="00CA2C7A" w:rsidRDefault="00CA2C7A">
    <w:pPr>
      <w:tabs>
        <w:tab w:val="left" w:pos="0"/>
        <w:tab w:val="center" w:pos="4680"/>
        <w:tab w:val="right" w:pos="9356"/>
      </w:tabs>
      <w:spacing w:line="0" w:lineRule="atLeast"/>
    </w:pPr>
    <w:r>
      <w:t>Article 1</w:t>
    </w:r>
    <w:r>
      <w:rPr>
        <w:b/>
      </w:rPr>
      <w:tab/>
      <w:t>COMMUNITY RELATIONS</w:t>
    </w:r>
    <w:r>
      <w:tab/>
      <w:t>Admin. Regulation No. 4018A</w:t>
    </w:r>
    <w:r>
      <w:tab/>
    </w:r>
  </w:p>
  <w:p w14:paraId="0DDFD30D" w14:textId="77777777" w:rsidR="00CA2C7A" w:rsidRDefault="00CA2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w:hAnsi="Couri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B1"/>
    <w:rsid w:val="001303B1"/>
    <w:rsid w:val="00207211"/>
    <w:rsid w:val="002B5FE7"/>
    <w:rsid w:val="0034451A"/>
    <w:rsid w:val="004B19B1"/>
    <w:rsid w:val="00540A5B"/>
    <w:rsid w:val="005615B3"/>
    <w:rsid w:val="00602A45"/>
    <w:rsid w:val="00617D58"/>
    <w:rsid w:val="0062288A"/>
    <w:rsid w:val="00885C8F"/>
    <w:rsid w:val="00897938"/>
    <w:rsid w:val="00922DCE"/>
    <w:rsid w:val="00A2170B"/>
    <w:rsid w:val="00A94044"/>
    <w:rsid w:val="00B034B6"/>
    <w:rsid w:val="00B526F7"/>
    <w:rsid w:val="00B621C3"/>
    <w:rsid w:val="00BC0E18"/>
    <w:rsid w:val="00CA2C7A"/>
    <w:rsid w:val="00D312F8"/>
    <w:rsid w:val="00DC6F9E"/>
    <w:rsid w:val="00E206BD"/>
    <w:rsid w:val="00EF6E21"/>
    <w:rsid w:val="00F473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E485257"/>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D91"/>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style>
  <w:style w:type="paragraph" w:styleId="BalloonText">
    <w:name w:val="Balloon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ahoma" w:hAnsi="Tahoma"/>
      <w:sz w:val="16"/>
    </w:rPr>
  </w:style>
  <w:style w:type="paragraph" w:customStyle="1" w:styleId="Header1">
    <w:name w:val="Header1"/>
    <w:basedOn w:val="Normal"/>
    <w:pPr>
      <w:widowControl w:val="0"/>
      <w:tabs>
        <w:tab w:val="left" w:pos="0"/>
        <w:tab w:val="center" w:pos="4320"/>
        <w:tab w:val="right" w:pos="8640"/>
      </w:tabs>
    </w:pPr>
    <w:rPr>
      <w:rFonts w:ascii="Courier" w:hAnsi="Courier"/>
      <w:sz w:val="20"/>
    </w:rPr>
  </w:style>
  <w:style w:type="paragraph" w:customStyle="1" w:styleId="Footer1">
    <w:name w:val="Footer1"/>
    <w:basedOn w:val="Normal"/>
    <w:pPr>
      <w:widowControl w:val="0"/>
      <w:tabs>
        <w:tab w:val="left" w:pos="0"/>
        <w:tab w:val="center" w:pos="4320"/>
        <w:tab w:val="right" w:pos="8640"/>
      </w:tabs>
    </w:pPr>
    <w:rPr>
      <w:rFonts w:ascii="Courier" w:hAnsi="Courier"/>
      <w:sz w:val="20"/>
    </w:rPr>
  </w:style>
  <w:style w:type="paragraph" w:styleId="Footer">
    <w:name w:val="footer"/>
    <w:basedOn w:val="Normal"/>
    <w:rsid w:val="00E50D9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Gibs</dc:creator>
  <cp:keywords/>
  <cp:lastModifiedBy>Morlan, Emily (eemorlan)</cp:lastModifiedBy>
  <cp:revision>3</cp:revision>
  <cp:lastPrinted>2013-03-28T15:50:00Z</cp:lastPrinted>
  <dcterms:created xsi:type="dcterms:W3CDTF">2024-04-02T19:29:00Z</dcterms:created>
  <dcterms:modified xsi:type="dcterms:W3CDTF">2025-03-10T14:37:00Z</dcterms:modified>
</cp:coreProperties>
</file>