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Mar 8,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 attendance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In Attendance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In Remote 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Crocker-Roberge - Principal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Heidi Otis - Pyne Arts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Tracey Blanchard - Pyne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Jackie B - Parent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Starcevic - Parent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Connor Baldwin - Parent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Kolifrath - Pyne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Trip - Parent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Mary Wood</w:t>
              </w:r>
            </w:hyperlink>
            <w:r w:rsidDel="00000000" w:rsidR="00000000" w:rsidRPr="00000000">
              <w:rPr>
                <w:rtl w:val="0"/>
              </w:rPr>
              <w:t xml:space="preserve">- Pyne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Hamel - Parent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Robinson - Parent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SSC discussed the new budget allocation, specifically the inequity of the distribution of monies between schools.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Pyne Arts was initially awarded $1.00 until a second budget book showed $25,888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SSC discussed creative ways to reshape the positions that the school committee approved.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Worker/BCBA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PBIS Teacher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Building Sub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following motions were put forward by the SSC for the QIP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Tier 1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 paras in place of a PBIS teacher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 BCBA (use funds from new budget to make up the salary difference)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Tier 2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BCBA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PBIS Music Teacher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 to move the remaining 15K into the General Supply Fund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ywood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