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D5C2" w14:textId="77777777" w:rsidR="004274C2" w:rsidRDefault="004274C2">
      <w:r>
        <w:t>SIT Meeting</w:t>
      </w:r>
      <w:r>
        <w:br/>
        <w:t>8/27/2019</w:t>
      </w:r>
      <w:r>
        <w:br/>
      </w:r>
    </w:p>
    <w:p w14:paraId="12AC4A19" w14:textId="77777777" w:rsidR="004274C2" w:rsidRDefault="004274C2" w:rsidP="004274C2">
      <w:pPr>
        <w:pStyle w:val="ListParagraph"/>
        <w:numPr>
          <w:ilvl w:val="0"/>
          <w:numId w:val="1"/>
        </w:numPr>
      </w:pPr>
      <w:r>
        <w:t>Attendance: Megan Cross, Shequita Hughes, Roni Bryant, Connie Butterfield, Nicole Calloway, David Estefen, Kendral Flowers, Aleisha Fuller, Ann Virost, Kennisha Wade, Winnie Yang, Blaire Penn, Syeda Campbell</w:t>
      </w:r>
    </w:p>
    <w:p w14:paraId="76A353A8" w14:textId="77777777" w:rsidR="004274C2" w:rsidRDefault="004274C2" w:rsidP="004274C2">
      <w:pPr>
        <w:pStyle w:val="ListParagraph"/>
        <w:numPr>
          <w:ilvl w:val="0"/>
          <w:numId w:val="1"/>
        </w:numPr>
      </w:pPr>
      <w:r>
        <w:t>Improvements to NC Star</w:t>
      </w:r>
    </w:p>
    <w:p w14:paraId="72CD452C" w14:textId="77777777" w:rsidR="004274C2" w:rsidRDefault="004274C2" w:rsidP="004274C2">
      <w:pPr>
        <w:pStyle w:val="ListParagraph"/>
        <w:ind w:left="1080"/>
      </w:pPr>
      <w:r>
        <w:t xml:space="preserve">All SIT members have access to site. 5 new indicators were added. Rethink how we write our goals. They were SMART, but now we need to include specific indicators in our goals. Add performance measures to goals. </w:t>
      </w:r>
      <w:r w:rsidR="00CE4F00">
        <w:t xml:space="preserve">We can add “quick wins” or stepping stones to show how we are achieving our goals. Reminders: use data to create goals, tie goals to specific indicators, plan for specific years, reach full implementation with 3-6 indicators, action plan addresses how it is fully met, and if we document </w:t>
      </w:r>
      <w:proofErr w:type="gramStart"/>
      <w:r w:rsidR="00CE4F00">
        <w:t>it</w:t>
      </w:r>
      <w:proofErr w:type="gramEnd"/>
      <w:r w:rsidR="00CE4F00">
        <w:t xml:space="preserve"> we have plans to show full implementation.</w:t>
      </w:r>
    </w:p>
    <w:p w14:paraId="47E38D9D" w14:textId="77777777" w:rsidR="00CE4F00" w:rsidRDefault="00CE4F00" w:rsidP="004274C2">
      <w:pPr>
        <w:pStyle w:val="ListParagraph"/>
        <w:ind w:left="1080"/>
      </w:pPr>
      <w:r>
        <w:t xml:space="preserve">A4.01 is a mandated indicator for GCS. </w:t>
      </w:r>
    </w:p>
    <w:p w14:paraId="7FBC97C6" w14:textId="77777777" w:rsidR="00CE4F00" w:rsidRDefault="00CE4F00" w:rsidP="004274C2">
      <w:pPr>
        <w:pStyle w:val="ListParagraph"/>
        <w:ind w:left="1080"/>
      </w:pPr>
      <w:r>
        <w:t xml:space="preserve">The plan will need to be revised by the end of September. </w:t>
      </w:r>
    </w:p>
    <w:p w14:paraId="01177BAC" w14:textId="77777777" w:rsidR="00CE4F00" w:rsidRDefault="00CE4F00" w:rsidP="00CE4F00">
      <w:pPr>
        <w:pStyle w:val="ListParagraph"/>
        <w:numPr>
          <w:ilvl w:val="0"/>
          <w:numId w:val="1"/>
        </w:numPr>
      </w:pPr>
      <w:r>
        <w:t>Test Data</w:t>
      </w:r>
    </w:p>
    <w:p w14:paraId="7CF028F5" w14:textId="77777777" w:rsidR="00CE4F00" w:rsidRDefault="00CE4F00" w:rsidP="00CE4F00">
      <w:pPr>
        <w:pStyle w:val="ListParagraph"/>
        <w:ind w:left="1080"/>
      </w:pPr>
      <w:r>
        <w:t xml:space="preserve">We reviewed EMBARGO preliminary data as a team. </w:t>
      </w:r>
    </w:p>
    <w:p w14:paraId="2460370B" w14:textId="77777777" w:rsidR="00544CC6" w:rsidRDefault="00544CC6" w:rsidP="00CE4F00">
      <w:pPr>
        <w:pStyle w:val="ListParagraph"/>
        <w:ind w:left="1080"/>
      </w:pPr>
    </w:p>
    <w:p w14:paraId="1A2C5F90" w14:textId="67CBEBFD" w:rsidR="00CE4F00" w:rsidRDefault="00CE4F00" w:rsidP="00CE4F00">
      <w:pPr>
        <w:pStyle w:val="ListParagraph"/>
        <w:ind w:left="1080"/>
      </w:pPr>
      <w:r>
        <w:t xml:space="preserve">37% school composite in math, district goal was 34%, so we met expected growth. </w:t>
      </w:r>
      <w:r>
        <w:br/>
        <w:t>3</w:t>
      </w:r>
      <w:r w:rsidRPr="00CE4F00">
        <w:rPr>
          <w:vertAlign w:val="superscript"/>
        </w:rPr>
        <w:t>rd</w:t>
      </w:r>
      <w:r>
        <w:t xml:space="preserve"> grade Math: 38.7%</w:t>
      </w:r>
      <w:r w:rsidR="00D71E53">
        <w:t xml:space="preserve"> (17-</w:t>
      </w:r>
      <w:r w:rsidR="007E70D9">
        <w:t>18) --</w:t>
      </w:r>
      <w:r>
        <w:t xml:space="preserve">&gt; 49% </w:t>
      </w:r>
      <w:r w:rsidR="00D71E53">
        <w:t xml:space="preserve">We discussed how to keep it up. </w:t>
      </w:r>
      <w:r>
        <w:br/>
      </w:r>
      <w:r w:rsidR="00D71E53">
        <w:t>4</w:t>
      </w:r>
      <w:r w:rsidR="00D71E53" w:rsidRPr="00D71E53">
        <w:rPr>
          <w:vertAlign w:val="superscript"/>
        </w:rPr>
        <w:t>th</w:t>
      </w:r>
      <w:r w:rsidR="00D71E53">
        <w:t xml:space="preserve"> grade: 23.6%--&gt;24%</w:t>
      </w:r>
    </w:p>
    <w:p w14:paraId="335AE47D" w14:textId="77777777" w:rsidR="00D71E53" w:rsidRDefault="00D71E53" w:rsidP="00CE4F00">
      <w:pPr>
        <w:pStyle w:val="ListParagraph"/>
        <w:ind w:left="1080"/>
      </w:pPr>
      <w:r>
        <w:t>5</w:t>
      </w:r>
      <w:r w:rsidRPr="00D71E53">
        <w:rPr>
          <w:vertAlign w:val="superscript"/>
        </w:rPr>
        <w:t>th</w:t>
      </w:r>
      <w:r>
        <w:t xml:space="preserve"> grade32%--&gt;34.4%</w:t>
      </w:r>
    </w:p>
    <w:p w14:paraId="40FC6CB2" w14:textId="77777777" w:rsidR="00D66111" w:rsidRDefault="00D66111" w:rsidP="00CE4F00">
      <w:pPr>
        <w:pStyle w:val="ListParagraph"/>
        <w:ind w:left="1080"/>
      </w:pPr>
    </w:p>
    <w:p w14:paraId="2EE2C7F9" w14:textId="77777777" w:rsidR="00D71E53" w:rsidRDefault="00D71E53" w:rsidP="00CE4F00">
      <w:pPr>
        <w:pStyle w:val="ListParagraph"/>
        <w:ind w:left="1080"/>
      </w:pPr>
      <w:r>
        <w:t xml:space="preserve">As a school we are at 35% proficiency in math. We discussed what our next steps were as we broke down the data into subgroups. </w:t>
      </w:r>
      <w:r>
        <w:br/>
      </w:r>
    </w:p>
    <w:p w14:paraId="4D1E7718" w14:textId="77777777" w:rsidR="00D71E53" w:rsidRDefault="00D71E53" w:rsidP="00CE4F00">
      <w:pPr>
        <w:pStyle w:val="ListParagraph"/>
        <w:ind w:left="1080"/>
      </w:pPr>
      <w:r>
        <w:t xml:space="preserve">Asians </w:t>
      </w:r>
      <w:r>
        <w:br/>
        <w:t>3</w:t>
      </w:r>
      <w:r w:rsidRPr="00D71E53">
        <w:rPr>
          <w:vertAlign w:val="superscript"/>
        </w:rPr>
        <w:t>rd</w:t>
      </w:r>
      <w:r>
        <w:t xml:space="preserve"> grade math 64.7</w:t>
      </w:r>
      <w:r>
        <w:sym w:font="Wingdings" w:char="F0E0"/>
      </w:r>
      <w:r w:rsidR="00D66111">
        <w:t xml:space="preserve"> 70.6% </w:t>
      </w:r>
    </w:p>
    <w:p w14:paraId="24CBB32E" w14:textId="77777777" w:rsidR="00D71E53" w:rsidRDefault="00D71E53" w:rsidP="00CE4F00">
      <w:pPr>
        <w:pStyle w:val="ListParagraph"/>
        <w:ind w:left="1080"/>
      </w:pPr>
      <w:r>
        <w:t>4</w:t>
      </w:r>
      <w:r w:rsidRPr="00D71E53">
        <w:rPr>
          <w:vertAlign w:val="superscript"/>
        </w:rPr>
        <w:t>th</w:t>
      </w:r>
      <w:r>
        <w:t xml:space="preserve"> 33.3%--&gt;52.9%</w:t>
      </w:r>
      <w:r>
        <w:br/>
        <w:t>5</w:t>
      </w:r>
      <w:r w:rsidRPr="00D71E53">
        <w:rPr>
          <w:vertAlign w:val="superscript"/>
        </w:rPr>
        <w:t>th</w:t>
      </w:r>
      <w:r>
        <w:t xml:space="preserve"> 63.6</w:t>
      </w:r>
      <w:r w:rsidR="00D66111">
        <w:t>%</w:t>
      </w:r>
      <w:r>
        <w:t>--&gt;58.3%</w:t>
      </w:r>
    </w:p>
    <w:p w14:paraId="35A5AEEC" w14:textId="77777777" w:rsidR="00D71E53" w:rsidRDefault="00D71E53" w:rsidP="00CE4F00">
      <w:pPr>
        <w:pStyle w:val="ListParagraph"/>
        <w:ind w:left="1080"/>
      </w:pPr>
      <w:r>
        <w:t>Overall math for Asian 53.5%--&gt; 60.9</w:t>
      </w:r>
      <w:r w:rsidR="00D66111">
        <w:t>%</w:t>
      </w:r>
    </w:p>
    <w:p w14:paraId="30346AF4" w14:textId="77777777" w:rsidR="00D71E53" w:rsidRDefault="00D71E53" w:rsidP="00CE4F00">
      <w:pPr>
        <w:pStyle w:val="ListParagraph"/>
        <w:ind w:left="1080"/>
      </w:pPr>
    </w:p>
    <w:p w14:paraId="65F7D699" w14:textId="77777777" w:rsidR="00D71E53" w:rsidRDefault="00D71E53" w:rsidP="00CE4F00">
      <w:pPr>
        <w:pStyle w:val="ListParagraph"/>
        <w:ind w:left="1080"/>
      </w:pPr>
      <w:r>
        <w:t>Hispanic</w:t>
      </w:r>
    </w:p>
    <w:p w14:paraId="6FF0A21E" w14:textId="77777777" w:rsidR="00D71E53" w:rsidRDefault="00D71E53" w:rsidP="00CE4F00">
      <w:pPr>
        <w:pStyle w:val="ListParagraph"/>
        <w:ind w:left="1080"/>
      </w:pPr>
      <w:r>
        <w:t>3</w:t>
      </w:r>
      <w:r w:rsidRPr="00D71E53">
        <w:rPr>
          <w:vertAlign w:val="superscript"/>
        </w:rPr>
        <w:t>rd</w:t>
      </w:r>
      <w:r>
        <w:t xml:space="preserve"> grade 34.2%--&gt; 60.5%</w:t>
      </w:r>
      <w:r>
        <w:br/>
        <w:t>4</w:t>
      </w:r>
      <w:r w:rsidRPr="00D71E53">
        <w:rPr>
          <w:vertAlign w:val="superscript"/>
        </w:rPr>
        <w:t>th</w:t>
      </w:r>
      <w:r>
        <w:t xml:space="preserve"> 29%--&gt;27.5%</w:t>
      </w:r>
      <w:r>
        <w:br/>
        <w:t>5</w:t>
      </w:r>
      <w:r w:rsidRPr="00D71E53">
        <w:rPr>
          <w:vertAlign w:val="superscript"/>
        </w:rPr>
        <w:t>th</w:t>
      </w:r>
      <w:r>
        <w:t xml:space="preserve"> 31%--&gt;36.1%</w:t>
      </w:r>
      <w:r>
        <w:br/>
        <w:t>Overall 31.6%--&gt;41.2%</w:t>
      </w:r>
    </w:p>
    <w:p w14:paraId="7D88405F" w14:textId="77777777" w:rsidR="00D71E53" w:rsidRDefault="00D71E53" w:rsidP="00CE4F00">
      <w:pPr>
        <w:pStyle w:val="ListParagraph"/>
        <w:ind w:left="1080"/>
      </w:pPr>
    </w:p>
    <w:p w14:paraId="6F1A76DE" w14:textId="77777777" w:rsidR="00D71E53" w:rsidRDefault="009A3DC8" w:rsidP="00CE4F00">
      <w:pPr>
        <w:pStyle w:val="ListParagraph"/>
        <w:ind w:left="1080"/>
      </w:pPr>
      <w:r>
        <w:t>AA</w:t>
      </w:r>
      <w:r w:rsidR="00D71E53">
        <w:br/>
        <w:t>3</w:t>
      </w:r>
      <w:r w:rsidR="00D71E53" w:rsidRPr="00D71E53">
        <w:rPr>
          <w:vertAlign w:val="superscript"/>
        </w:rPr>
        <w:t>rd</w:t>
      </w:r>
      <w:r w:rsidR="00D71E53">
        <w:t xml:space="preserve"> </w:t>
      </w:r>
      <w:r w:rsidR="00D66111">
        <w:t>31.6%--&gt; 34.6%</w:t>
      </w:r>
      <w:r w:rsidR="00D71E53">
        <w:br/>
        <w:t>4</w:t>
      </w:r>
      <w:r w:rsidR="00D71E53" w:rsidRPr="00D71E53">
        <w:rPr>
          <w:vertAlign w:val="superscript"/>
        </w:rPr>
        <w:t>th</w:t>
      </w:r>
      <w:r w:rsidR="00D71E53">
        <w:t xml:space="preserve"> </w:t>
      </w:r>
      <w:r w:rsidR="00D66111">
        <w:t>20.5%--&gt; 15.3%</w:t>
      </w:r>
      <w:r w:rsidR="00D71E53">
        <w:br/>
        <w:t>5</w:t>
      </w:r>
      <w:r w:rsidR="00D71E53" w:rsidRPr="00D71E53">
        <w:rPr>
          <w:vertAlign w:val="superscript"/>
        </w:rPr>
        <w:t>th</w:t>
      </w:r>
      <w:r w:rsidR="00D71E53">
        <w:t xml:space="preserve"> 28.4%--&gt;31.4%</w:t>
      </w:r>
      <w:r w:rsidR="00D71E53">
        <w:br/>
        <w:t>Overall 27%--&gt;26.3%</w:t>
      </w:r>
    </w:p>
    <w:p w14:paraId="654F1450" w14:textId="77777777" w:rsidR="00D71E53" w:rsidRDefault="00D71E53" w:rsidP="00CE4F00">
      <w:pPr>
        <w:pStyle w:val="ListParagraph"/>
        <w:ind w:left="1080"/>
      </w:pPr>
    </w:p>
    <w:p w14:paraId="25CB3009" w14:textId="77777777" w:rsidR="00D71E53" w:rsidRDefault="000A237B" w:rsidP="00CE4F00">
      <w:pPr>
        <w:pStyle w:val="ListParagraph"/>
        <w:ind w:left="1080"/>
      </w:pPr>
      <w:r>
        <w:t>Caucasian</w:t>
      </w:r>
      <w:r w:rsidR="00D71E53">
        <w:t xml:space="preserve"> overall 35.7%--&gt;50% </w:t>
      </w:r>
    </w:p>
    <w:p w14:paraId="7EFE7D1E" w14:textId="77777777" w:rsidR="00D66111" w:rsidRDefault="00D66111" w:rsidP="00CE4F00">
      <w:pPr>
        <w:pStyle w:val="ListParagraph"/>
        <w:ind w:left="1080"/>
      </w:pPr>
    </w:p>
    <w:p w14:paraId="0412DC6A" w14:textId="77777777" w:rsidR="00D71E53" w:rsidRDefault="000A237B" w:rsidP="00CE4F00">
      <w:pPr>
        <w:pStyle w:val="ListParagraph"/>
        <w:ind w:left="1080"/>
      </w:pPr>
      <w:r>
        <w:t>ED</w:t>
      </w:r>
    </w:p>
    <w:p w14:paraId="629E935D" w14:textId="77777777" w:rsidR="00D71E53" w:rsidRDefault="00D71E53" w:rsidP="00CE4F00">
      <w:pPr>
        <w:pStyle w:val="ListParagraph"/>
        <w:ind w:left="1080"/>
      </w:pPr>
      <w:r>
        <w:t>35.9%--&gt;44.9%</w:t>
      </w:r>
    </w:p>
    <w:p w14:paraId="78885436" w14:textId="77777777" w:rsidR="00D71E53" w:rsidRDefault="00D71E53" w:rsidP="00CE4F00">
      <w:pPr>
        <w:pStyle w:val="ListParagraph"/>
        <w:ind w:left="1080"/>
      </w:pPr>
      <w:r>
        <w:t>19.8%--&gt;20.4%</w:t>
      </w:r>
    </w:p>
    <w:p w14:paraId="21139E5F" w14:textId="77777777" w:rsidR="00D71E53" w:rsidRDefault="00D71E53" w:rsidP="00CE4F00">
      <w:pPr>
        <w:pStyle w:val="ListParagraph"/>
        <w:ind w:left="1080"/>
      </w:pPr>
      <w:r>
        <w:t>30%--&gt;32.3%</w:t>
      </w:r>
      <w:r>
        <w:br/>
        <w:t>Overall 28.6%--&gt;30.9</w:t>
      </w:r>
      <w:r>
        <w:br/>
      </w:r>
      <w:r>
        <w:br/>
        <w:t>EL</w:t>
      </w:r>
      <w:r>
        <w:br/>
        <w:t>3</w:t>
      </w:r>
      <w:r w:rsidRPr="00D71E53">
        <w:rPr>
          <w:vertAlign w:val="superscript"/>
        </w:rPr>
        <w:t>rd</w:t>
      </w:r>
      <w:r>
        <w:t xml:space="preserve"> 32.4</w:t>
      </w:r>
      <w:r>
        <w:sym w:font="Wingdings" w:char="F0E0"/>
      </w:r>
      <w:r>
        <w:t>48%</w:t>
      </w:r>
      <w:r>
        <w:br/>
        <w:t>4</w:t>
      </w:r>
      <w:r w:rsidRPr="00D71E53">
        <w:rPr>
          <w:vertAlign w:val="superscript"/>
        </w:rPr>
        <w:t>th</w:t>
      </w:r>
      <w:r>
        <w:t xml:space="preserve"> 23.3%--&gt;24.2 </w:t>
      </w:r>
      <w:r>
        <w:br/>
        <w:t>5</w:t>
      </w:r>
      <w:r w:rsidRPr="00D71E53">
        <w:rPr>
          <w:vertAlign w:val="superscript"/>
        </w:rPr>
        <w:t>th</w:t>
      </w:r>
      <w:r>
        <w:t xml:space="preserve"> 33.3%--&gt; 26.3%</w:t>
      </w:r>
      <w:r>
        <w:br/>
        <w:t>Overall 29.3</w:t>
      </w:r>
      <w:r>
        <w:sym w:font="Wingdings" w:char="F0E0"/>
      </w:r>
      <w:r>
        <w:t xml:space="preserve"> 31.3 </w:t>
      </w:r>
    </w:p>
    <w:p w14:paraId="08AF54A4" w14:textId="77777777" w:rsidR="00D71E53" w:rsidRDefault="00D71E53" w:rsidP="00CE4F00">
      <w:pPr>
        <w:pStyle w:val="ListParagraph"/>
        <w:ind w:left="1080"/>
      </w:pPr>
    </w:p>
    <w:p w14:paraId="494EDEE9" w14:textId="77777777" w:rsidR="00D71E53" w:rsidRDefault="009A3DC8" w:rsidP="00CE4F00">
      <w:pPr>
        <w:pStyle w:val="ListParagraph"/>
        <w:ind w:left="1080"/>
      </w:pPr>
      <w:r>
        <w:t>SWD</w:t>
      </w:r>
    </w:p>
    <w:p w14:paraId="71CA677C" w14:textId="77777777" w:rsidR="00D71E53" w:rsidRDefault="00D71E53" w:rsidP="00CE4F00">
      <w:pPr>
        <w:pStyle w:val="ListParagraph"/>
        <w:ind w:left="1080"/>
      </w:pPr>
      <w:r>
        <w:t>3</w:t>
      </w:r>
      <w:r w:rsidRPr="00D71E53">
        <w:rPr>
          <w:vertAlign w:val="superscript"/>
        </w:rPr>
        <w:t>rd</w:t>
      </w:r>
      <w:r>
        <w:t xml:space="preserve"> 20%--&gt;16.7%</w:t>
      </w:r>
    </w:p>
    <w:p w14:paraId="7CF0EDE3" w14:textId="77777777" w:rsidR="00D71E53" w:rsidRDefault="00D71E53" w:rsidP="00CE4F00">
      <w:pPr>
        <w:pStyle w:val="ListParagraph"/>
        <w:ind w:left="1080"/>
      </w:pPr>
      <w:r>
        <w:t>4</w:t>
      </w:r>
      <w:r w:rsidRPr="00D71E53">
        <w:rPr>
          <w:vertAlign w:val="superscript"/>
        </w:rPr>
        <w:t>th</w:t>
      </w:r>
      <w:r>
        <w:t xml:space="preserve"> 18.8%--&gt;9.5%</w:t>
      </w:r>
      <w:r>
        <w:br/>
        <w:t>5</w:t>
      </w:r>
      <w:r w:rsidRPr="00D71E53">
        <w:rPr>
          <w:vertAlign w:val="superscript"/>
        </w:rPr>
        <w:t>th</w:t>
      </w:r>
      <w:r>
        <w:t xml:space="preserve"> 17.9%--&gt;15.8</w:t>
      </w:r>
      <w:r>
        <w:br/>
        <w:t xml:space="preserve">Overall </w:t>
      </w:r>
      <w:r w:rsidR="00D66111">
        <w:t>18.8</w:t>
      </w:r>
      <w:r w:rsidR="00D66111">
        <w:sym w:font="Wingdings" w:char="F0E0"/>
      </w:r>
      <w:r w:rsidR="00D66111">
        <w:t xml:space="preserve"> 13.5%</w:t>
      </w:r>
    </w:p>
    <w:p w14:paraId="41E328C2" w14:textId="77777777" w:rsidR="00D66111" w:rsidRDefault="00D66111" w:rsidP="00CE4F00">
      <w:pPr>
        <w:pStyle w:val="ListParagraph"/>
        <w:ind w:left="1080"/>
      </w:pPr>
    </w:p>
    <w:p w14:paraId="429F67BA" w14:textId="77777777" w:rsidR="00D66111" w:rsidRDefault="00D66111" w:rsidP="00CE4F00">
      <w:pPr>
        <w:pStyle w:val="ListParagraph"/>
        <w:ind w:left="1080"/>
      </w:pPr>
      <w:r>
        <w:t>AIG</w:t>
      </w:r>
    </w:p>
    <w:p w14:paraId="785B2ED2" w14:textId="77777777" w:rsidR="00D66111" w:rsidRDefault="00D66111" w:rsidP="00CE4F00">
      <w:pPr>
        <w:pStyle w:val="ListParagraph"/>
        <w:ind w:left="1080"/>
      </w:pPr>
      <w:r>
        <w:t>Overall 92.9</w:t>
      </w:r>
      <w:r>
        <w:sym w:font="Wingdings" w:char="F0E0"/>
      </w:r>
      <w:r>
        <w:t>94.1%</w:t>
      </w:r>
    </w:p>
    <w:p w14:paraId="5D202FD7" w14:textId="77777777" w:rsidR="00D66111" w:rsidRDefault="00D66111" w:rsidP="00CE4F00">
      <w:pPr>
        <w:pStyle w:val="ListParagraph"/>
        <w:ind w:left="1080"/>
      </w:pPr>
    </w:p>
    <w:p w14:paraId="36D82731" w14:textId="77777777" w:rsidR="00D66111" w:rsidRPr="00544CC6" w:rsidRDefault="00D66111" w:rsidP="00CE4F00">
      <w:pPr>
        <w:pStyle w:val="ListParagraph"/>
        <w:ind w:left="1080"/>
        <w:rPr>
          <w:u w:val="single"/>
        </w:rPr>
      </w:pPr>
      <w:r w:rsidRPr="00544CC6">
        <w:rPr>
          <w:u w:val="single"/>
        </w:rPr>
        <w:t>Strengths of Data</w:t>
      </w:r>
      <w:r w:rsidR="00544CC6" w:rsidRPr="00544CC6">
        <w:rPr>
          <w:u w:val="single"/>
        </w:rPr>
        <w:t>:</w:t>
      </w:r>
    </w:p>
    <w:p w14:paraId="1D6465B5" w14:textId="77777777" w:rsidR="00D66111" w:rsidRDefault="00D66111" w:rsidP="00D66111">
      <w:pPr>
        <w:pStyle w:val="ListParagraph"/>
        <w:numPr>
          <w:ilvl w:val="0"/>
          <w:numId w:val="2"/>
        </w:numPr>
      </w:pPr>
      <w:r>
        <w:t>Hispanic student performance</w:t>
      </w:r>
    </w:p>
    <w:p w14:paraId="2F9EA19A" w14:textId="77777777" w:rsidR="00D66111" w:rsidRDefault="00D66111" w:rsidP="00D66111">
      <w:pPr>
        <w:pStyle w:val="ListParagraph"/>
        <w:numPr>
          <w:ilvl w:val="0"/>
          <w:numId w:val="2"/>
        </w:numPr>
      </w:pPr>
      <w:r>
        <w:t>3</w:t>
      </w:r>
      <w:r w:rsidRPr="00D66111">
        <w:rPr>
          <w:vertAlign w:val="superscript"/>
        </w:rPr>
        <w:t>rd</w:t>
      </w:r>
      <w:r>
        <w:t xml:space="preserve"> Grade</w:t>
      </w:r>
    </w:p>
    <w:p w14:paraId="73AA6A68" w14:textId="77777777" w:rsidR="00D66111" w:rsidRDefault="00D66111" w:rsidP="00D66111">
      <w:pPr>
        <w:pStyle w:val="ListParagraph"/>
        <w:numPr>
          <w:ilvl w:val="0"/>
          <w:numId w:val="2"/>
        </w:numPr>
      </w:pPr>
      <w:r>
        <w:t xml:space="preserve">Asian student performance </w:t>
      </w:r>
    </w:p>
    <w:p w14:paraId="6BC11356" w14:textId="77777777" w:rsidR="00D66111" w:rsidRDefault="00D66111" w:rsidP="00D66111">
      <w:pPr>
        <w:pStyle w:val="ListParagraph"/>
        <w:numPr>
          <w:ilvl w:val="0"/>
          <w:numId w:val="2"/>
        </w:numPr>
      </w:pPr>
      <w:r>
        <w:t>Proficiency for the school</w:t>
      </w:r>
    </w:p>
    <w:p w14:paraId="690FB84F" w14:textId="6B7C53FD" w:rsidR="00544CC6" w:rsidRDefault="00544CC6" w:rsidP="00D66111">
      <w:pPr>
        <w:pStyle w:val="ListParagraph"/>
        <w:numPr>
          <w:ilvl w:val="0"/>
          <w:numId w:val="2"/>
        </w:numPr>
      </w:pPr>
      <w:r>
        <w:t xml:space="preserve">Title 1 funds to provide parental support to help make meaningful programs for </w:t>
      </w:r>
      <w:r w:rsidR="007E70D9">
        <w:t>all</w:t>
      </w:r>
      <w:r>
        <w:t xml:space="preserve"> our students </w:t>
      </w:r>
    </w:p>
    <w:p w14:paraId="1B1EA876" w14:textId="77777777" w:rsidR="00544CC6" w:rsidRDefault="00544CC6" w:rsidP="00544CC6">
      <w:pPr>
        <w:pStyle w:val="ListParagraph"/>
        <w:ind w:left="1080"/>
      </w:pPr>
      <w:r w:rsidRPr="00544CC6">
        <w:rPr>
          <w:u w:val="single"/>
        </w:rPr>
        <w:t xml:space="preserve">Areas to grow in: </w:t>
      </w:r>
      <w:r w:rsidRPr="00544CC6">
        <w:rPr>
          <w:u w:val="single"/>
        </w:rPr>
        <w:br/>
      </w:r>
      <w:r>
        <w:t xml:space="preserve">-      </w:t>
      </w:r>
      <w:r w:rsidR="00D66111">
        <w:t>4</w:t>
      </w:r>
      <w:r w:rsidR="00D66111" w:rsidRPr="00544CC6">
        <w:rPr>
          <w:vertAlign w:val="superscript"/>
        </w:rPr>
        <w:t>th</w:t>
      </w:r>
      <w:r w:rsidR="00D66111">
        <w:t xml:space="preserve"> grade, but we did notice more referrals in 4</w:t>
      </w:r>
      <w:r w:rsidR="00D66111" w:rsidRPr="00544CC6">
        <w:rPr>
          <w:vertAlign w:val="superscript"/>
        </w:rPr>
        <w:t>th</w:t>
      </w:r>
      <w:r w:rsidR="00D66111">
        <w:t xml:space="preserve"> </w:t>
      </w:r>
      <w:r w:rsidRPr="00544CC6">
        <w:rPr>
          <w:u w:val="single"/>
        </w:rPr>
        <w:br/>
      </w:r>
      <w:r>
        <w:t xml:space="preserve">-      </w:t>
      </w:r>
      <w:r w:rsidR="00D66111">
        <w:t>Discussed possible schoolwide K-2 summative, so those rising 3</w:t>
      </w:r>
      <w:r w:rsidR="00D66111" w:rsidRPr="00544CC6">
        <w:rPr>
          <w:vertAlign w:val="superscript"/>
        </w:rPr>
        <w:t>rd</w:t>
      </w:r>
      <w:r w:rsidR="00D66111">
        <w:t xml:space="preserve"> graders will have data</w:t>
      </w:r>
      <w:r w:rsidRPr="00544CC6">
        <w:rPr>
          <w:u w:val="single"/>
        </w:rPr>
        <w:br/>
      </w:r>
      <w:r>
        <w:t>-      Identify who we can partner with to increase involvement</w:t>
      </w:r>
    </w:p>
    <w:p w14:paraId="023170B7" w14:textId="77777777" w:rsidR="00544CC6" w:rsidRPr="00544CC6" w:rsidRDefault="00544CC6" w:rsidP="00544CC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How can we better support parents for Eureka </w:t>
      </w:r>
    </w:p>
    <w:p w14:paraId="3DBDD8A6" w14:textId="1BAF0FB1" w:rsidR="00544CC6" w:rsidRPr="00544CC6" w:rsidRDefault="00544CC6" w:rsidP="00544CC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 liaison for our African American families and Caucasian families, who provide continued support each year similar to Ms. Vaca and Ms. Migui </w:t>
      </w:r>
    </w:p>
    <w:p w14:paraId="372D2CAD" w14:textId="77777777" w:rsidR="00544CC6" w:rsidRDefault="00544CC6" w:rsidP="00544CC6"/>
    <w:p w14:paraId="5B17C78E" w14:textId="77777777" w:rsidR="009A3DC8" w:rsidRDefault="00544CC6" w:rsidP="00544CC6">
      <w:r>
        <w:t>Reading Data:</w:t>
      </w:r>
      <w:r w:rsidR="009A3DC8">
        <w:t xml:space="preserve"> </w:t>
      </w:r>
      <w:r w:rsidR="009A3DC8">
        <w:br/>
        <w:t>3</w:t>
      </w:r>
      <w:r w:rsidR="009A3DC8" w:rsidRPr="009A3DC8">
        <w:rPr>
          <w:vertAlign w:val="superscript"/>
        </w:rPr>
        <w:t>rd</w:t>
      </w:r>
      <w:r w:rsidR="009A3DC8">
        <w:t xml:space="preserve"> 32.2%--33.3%</w:t>
      </w:r>
      <w:r w:rsidR="009A3DC8">
        <w:br/>
        <w:t>4</w:t>
      </w:r>
      <w:r w:rsidR="009A3DC8" w:rsidRPr="009A3DC8">
        <w:rPr>
          <w:vertAlign w:val="superscript"/>
        </w:rPr>
        <w:t>th</w:t>
      </w:r>
      <w:r w:rsidR="009A3DC8">
        <w:t xml:space="preserve"> 28.3%--34%</w:t>
      </w:r>
      <w:r w:rsidR="009A3DC8">
        <w:br/>
        <w:t>5</w:t>
      </w:r>
      <w:r w:rsidR="009A3DC8" w:rsidRPr="009A3DC8">
        <w:rPr>
          <w:vertAlign w:val="superscript"/>
        </w:rPr>
        <w:t>th</w:t>
      </w:r>
      <w:r w:rsidR="009A3DC8">
        <w:t xml:space="preserve"> 28.9</w:t>
      </w:r>
      <w:r w:rsidR="009A3DC8">
        <w:sym w:font="Wingdings" w:char="F0E0"/>
      </w:r>
      <w:r w:rsidR="009A3DC8">
        <w:t>34.4%</w:t>
      </w:r>
    </w:p>
    <w:p w14:paraId="3A4F8334" w14:textId="77777777" w:rsidR="009A3DC8" w:rsidRDefault="009A3DC8" w:rsidP="00544CC6">
      <w:r>
        <w:lastRenderedPageBreak/>
        <w:t>29.9%--&gt;39.9</w:t>
      </w:r>
      <w:r>
        <w:br/>
        <w:t>4</w:t>
      </w:r>
      <w:r w:rsidRPr="009A3DC8">
        <w:rPr>
          <w:vertAlign w:val="superscript"/>
        </w:rPr>
        <w:t>th</w:t>
      </w:r>
      <w:r>
        <w:t xml:space="preserve"> and 5</w:t>
      </w:r>
      <w:r w:rsidRPr="009A3DC8">
        <w:rPr>
          <w:vertAlign w:val="superscript"/>
        </w:rPr>
        <w:t>th</w:t>
      </w:r>
      <w:r>
        <w:t xml:space="preserve"> reached their district proficiency grade for reading and science. </w:t>
      </w:r>
    </w:p>
    <w:p w14:paraId="17693BF5" w14:textId="77777777" w:rsidR="009A3DC8" w:rsidRDefault="009A3DC8" w:rsidP="00544CC6">
      <w:r>
        <w:t>Science for 5</w:t>
      </w:r>
      <w:r w:rsidRPr="009A3DC8">
        <w:rPr>
          <w:vertAlign w:val="superscript"/>
        </w:rPr>
        <w:t>th</w:t>
      </w:r>
      <w:r>
        <w:t xml:space="preserve"> 43%--&gt; 50.4%</w:t>
      </w:r>
      <w:r>
        <w:br/>
        <w:t>- Subgroup for Science for EL 25%</w:t>
      </w:r>
      <w:r>
        <w:sym w:font="Wingdings" w:char="F0E0"/>
      </w:r>
      <w:r>
        <w:t>47.4%</w:t>
      </w:r>
    </w:p>
    <w:p w14:paraId="3B2DE638" w14:textId="77777777" w:rsidR="009A3DC8" w:rsidRDefault="009A3DC8" w:rsidP="00544CC6">
      <w:r>
        <w:t>Asian</w:t>
      </w:r>
      <w:r>
        <w:br/>
        <w:t>3</w:t>
      </w:r>
      <w:r w:rsidRPr="009A3DC8">
        <w:rPr>
          <w:vertAlign w:val="superscript"/>
        </w:rPr>
        <w:t>rd</w:t>
      </w:r>
      <w:r>
        <w:t xml:space="preserve"> 47%--&gt;52.9%</w:t>
      </w:r>
      <w:r>
        <w:br/>
        <w:t>4</w:t>
      </w:r>
      <w:r w:rsidRPr="009A3DC8">
        <w:rPr>
          <w:vertAlign w:val="superscript"/>
        </w:rPr>
        <w:t>th</w:t>
      </w:r>
      <w:r>
        <w:t xml:space="preserve"> 26.7</w:t>
      </w:r>
      <w:r>
        <w:sym w:font="Wingdings" w:char="F0E0"/>
      </w:r>
      <w:r>
        <w:t>58.8%</w:t>
      </w:r>
      <w:r>
        <w:br/>
        <w:t>5</w:t>
      </w:r>
      <w:r w:rsidRPr="009A3DC8">
        <w:rPr>
          <w:vertAlign w:val="superscript"/>
        </w:rPr>
        <w:t>th</w:t>
      </w:r>
      <w:r>
        <w:t xml:space="preserve"> 54.5%--&gt;50%</w:t>
      </w:r>
      <w:r>
        <w:br/>
        <w:t>Overall 41.9%--&gt;54.3%</w:t>
      </w:r>
      <w:r>
        <w:br/>
      </w:r>
      <w:r>
        <w:br/>
        <w:t>AA</w:t>
      </w:r>
      <w:r>
        <w:br/>
        <w:t>3</w:t>
      </w:r>
      <w:r w:rsidRPr="009A3DC8">
        <w:rPr>
          <w:vertAlign w:val="superscript"/>
        </w:rPr>
        <w:t>rd</w:t>
      </w:r>
      <w:r>
        <w:t xml:space="preserve"> 31.2%--&gt;19.2</w:t>
      </w:r>
      <w:r>
        <w:br/>
        <w:t>4</w:t>
      </w:r>
      <w:r w:rsidRPr="009A3DC8">
        <w:rPr>
          <w:vertAlign w:val="superscript"/>
        </w:rPr>
        <w:t>th</w:t>
      </w:r>
      <w:r>
        <w:t xml:space="preserve"> 27.4%--&gt;33.3%</w:t>
      </w:r>
      <w:r>
        <w:br/>
        <w:t>5</w:t>
      </w:r>
      <w:r w:rsidRPr="009A3DC8">
        <w:rPr>
          <w:vertAlign w:val="superscript"/>
        </w:rPr>
        <w:t>th</w:t>
      </w:r>
      <w:r>
        <w:t xml:space="preserve"> 27.2%--&gt;32.9%</w:t>
      </w:r>
      <w:r>
        <w:br/>
        <w:t xml:space="preserve">Overall 28.6%--&gt; 29.4% </w:t>
      </w:r>
      <w:r>
        <w:br/>
      </w:r>
      <w:r>
        <w:br/>
        <w:t xml:space="preserve">Hispanic </w:t>
      </w:r>
      <w:r>
        <w:br/>
        <w:t>3</w:t>
      </w:r>
      <w:r w:rsidRPr="009A3DC8">
        <w:rPr>
          <w:vertAlign w:val="superscript"/>
        </w:rPr>
        <w:t>rd</w:t>
      </w:r>
      <w:r>
        <w:t xml:space="preserve"> 23.7%--&gt;42.1%</w:t>
      </w:r>
      <w:r>
        <w:br/>
        <w:t>4</w:t>
      </w:r>
      <w:r w:rsidRPr="009A3DC8">
        <w:rPr>
          <w:vertAlign w:val="superscript"/>
        </w:rPr>
        <w:t>th</w:t>
      </w:r>
      <w:r>
        <w:t xml:space="preserve"> 29%--&gt;25% </w:t>
      </w:r>
      <w:r>
        <w:br/>
        <w:t>5</w:t>
      </w:r>
      <w:r w:rsidRPr="009A3DC8">
        <w:rPr>
          <w:vertAlign w:val="superscript"/>
        </w:rPr>
        <w:t>th</w:t>
      </w:r>
      <w:r>
        <w:t xml:space="preserve"> 17.2</w:t>
      </w:r>
      <w:r>
        <w:sym w:font="Wingdings" w:char="F0E0"/>
      </w:r>
      <w:r>
        <w:t>30.6%</w:t>
      </w:r>
      <w:r>
        <w:br/>
        <w:t>Overall 23.5</w:t>
      </w:r>
      <w:r>
        <w:sym w:font="Wingdings" w:char="F0E0"/>
      </w:r>
      <w:r>
        <w:t>32.5%</w:t>
      </w:r>
      <w:r>
        <w:br/>
      </w:r>
      <w:r>
        <w:br/>
        <w:t>Caucasian 50%--&gt;50%</w:t>
      </w:r>
      <w:r>
        <w:br/>
      </w:r>
      <w:r>
        <w:br/>
        <w:t>ED</w:t>
      </w:r>
      <w:r>
        <w:br/>
        <w:t>31.2%--&gt;27.5%</w:t>
      </w:r>
      <w:r>
        <w:br/>
        <w:t>4</w:t>
      </w:r>
      <w:r w:rsidRPr="009A3DC8">
        <w:rPr>
          <w:vertAlign w:val="superscript"/>
        </w:rPr>
        <w:t>th</w:t>
      </w:r>
      <w:r>
        <w:t xml:space="preserve"> 25.3%--&gt;30.1%</w:t>
      </w:r>
      <w:r>
        <w:br/>
        <w:t>5</w:t>
      </w:r>
      <w:r w:rsidRPr="009A3DC8">
        <w:rPr>
          <w:vertAlign w:val="superscript"/>
        </w:rPr>
        <w:t>th</w:t>
      </w:r>
      <w:r>
        <w:t xml:space="preserve"> 28.9-31.2%</w:t>
      </w:r>
      <w:r>
        <w:br/>
        <w:t>Overall 28.5%--&gt;29.8%</w:t>
      </w:r>
      <w:r>
        <w:br/>
      </w:r>
      <w:r>
        <w:br/>
        <w:t>EL</w:t>
      </w:r>
      <w:r>
        <w:br/>
        <w:t>3</w:t>
      </w:r>
      <w:r w:rsidRPr="009A3DC8">
        <w:rPr>
          <w:vertAlign w:val="superscript"/>
        </w:rPr>
        <w:t>rd</w:t>
      </w:r>
      <w:r>
        <w:t xml:space="preserve"> 18.9%--&gt;16%</w:t>
      </w:r>
      <w:r>
        <w:br/>
        <w:t>4</w:t>
      </w:r>
      <w:r w:rsidRPr="009A3DC8">
        <w:rPr>
          <w:vertAlign w:val="superscript"/>
        </w:rPr>
        <w:t>th</w:t>
      </w:r>
      <w:r>
        <w:t xml:space="preserve"> 20.9%--&gt;15.2%</w:t>
      </w:r>
      <w:r>
        <w:br/>
        <w:t>5</w:t>
      </w:r>
      <w:r w:rsidRPr="009A3DC8">
        <w:rPr>
          <w:vertAlign w:val="superscript"/>
        </w:rPr>
        <w:t>th</w:t>
      </w:r>
      <w:r>
        <w:t xml:space="preserve"> 19.4%--&gt;18.4%</w:t>
      </w:r>
      <w:r>
        <w:br/>
        <w:t>Overall 19.8%</w:t>
      </w:r>
      <w:r>
        <w:sym w:font="Wingdings" w:char="F0E0"/>
      </w:r>
      <w:r>
        <w:t>16.7%</w:t>
      </w:r>
      <w:r>
        <w:br/>
      </w:r>
    </w:p>
    <w:p w14:paraId="6AE5BF5E" w14:textId="77777777" w:rsidR="009A3DC8" w:rsidRDefault="009A3DC8" w:rsidP="00544CC6">
      <w:r>
        <w:t>SWD</w:t>
      </w:r>
      <w:r>
        <w:br/>
        <w:t>3</w:t>
      </w:r>
      <w:r w:rsidRPr="009A3DC8">
        <w:rPr>
          <w:vertAlign w:val="superscript"/>
        </w:rPr>
        <w:t>rd</w:t>
      </w:r>
      <w:r>
        <w:t xml:space="preserve"> 19</w:t>
      </w:r>
      <w:r>
        <w:sym w:font="Wingdings" w:char="F0E0"/>
      </w:r>
      <w:r>
        <w:t>16.7</w:t>
      </w:r>
      <w:r>
        <w:br/>
        <w:t>4</w:t>
      </w:r>
      <w:r w:rsidRPr="009A3DC8">
        <w:rPr>
          <w:vertAlign w:val="superscript"/>
        </w:rPr>
        <w:t>th</w:t>
      </w:r>
      <w:r>
        <w:t xml:space="preserve"> 18.9</w:t>
      </w:r>
      <w:r>
        <w:sym w:font="Wingdings" w:char="F0E0"/>
      </w:r>
      <w:r>
        <w:t>19%</w:t>
      </w:r>
      <w:r>
        <w:br/>
        <w:t>5</w:t>
      </w:r>
      <w:r w:rsidRPr="009A3DC8">
        <w:rPr>
          <w:vertAlign w:val="superscript"/>
        </w:rPr>
        <w:t>th</w:t>
      </w:r>
      <w:r>
        <w:t xml:space="preserve"> 17.9</w:t>
      </w:r>
      <w:r>
        <w:sym w:font="Wingdings" w:char="F0E0"/>
      </w:r>
      <w:r>
        <w:t>21%</w:t>
      </w:r>
      <w:r>
        <w:br/>
        <w:t>Overall 18.5%--&gt;19.2</w:t>
      </w:r>
      <w:r>
        <w:br/>
      </w:r>
      <w:r>
        <w:br/>
        <w:t>AIG 92.9</w:t>
      </w:r>
      <w:r>
        <w:sym w:font="Wingdings" w:char="F0E0"/>
      </w:r>
      <w:r>
        <w:t>94%</w:t>
      </w:r>
    </w:p>
    <w:p w14:paraId="0AEB6EDD" w14:textId="77777777" w:rsidR="000A237B" w:rsidRDefault="000A237B" w:rsidP="00544CC6">
      <w:r>
        <w:lastRenderedPageBreak/>
        <w:t>We are considered as met growth. Overall reading for EVAAS as a school, 0.53</w:t>
      </w:r>
      <w:r>
        <w:sym w:font="Wingdings" w:char="F0E0"/>
      </w:r>
      <w:r>
        <w:t xml:space="preserve"> 0.66 growth</w:t>
      </w:r>
      <w:r>
        <w:br/>
        <w:t>Reading 1.54</w:t>
      </w:r>
      <w:r>
        <w:sym w:font="Wingdings" w:char="F0E0"/>
      </w:r>
      <w:r>
        <w:t xml:space="preserve"> 1.01</w:t>
      </w:r>
      <w:r>
        <w:br/>
        <w:t>Math -1.46</w:t>
      </w:r>
      <w:r>
        <w:sym w:font="Wingdings" w:char="F0E0"/>
      </w:r>
      <w:r>
        <w:t xml:space="preserve">0.10 </w:t>
      </w:r>
    </w:p>
    <w:p w14:paraId="0508D58D" w14:textId="77777777" w:rsidR="000A237B" w:rsidRDefault="000A237B" w:rsidP="000A237B">
      <w:pPr>
        <w:pStyle w:val="ListParagraph"/>
        <w:numPr>
          <w:ilvl w:val="0"/>
          <w:numId w:val="1"/>
        </w:numPr>
      </w:pPr>
      <w:r>
        <w:t xml:space="preserve">Action Plan </w:t>
      </w:r>
    </w:p>
    <w:p w14:paraId="3EF53DB7" w14:textId="785489B8" w:rsidR="000A237B" w:rsidRDefault="007E70D9" w:rsidP="000A237B">
      <w:pPr>
        <w:pStyle w:val="ListParagraph"/>
        <w:ind w:left="1080"/>
      </w:pPr>
      <w:r>
        <w:t>Subcommittees</w:t>
      </w:r>
      <w:r w:rsidR="000A237B">
        <w:t>: PBIS/Rankin Pride</w:t>
      </w:r>
      <w:r w:rsidR="00F234C1">
        <w:t>(Hughes)</w:t>
      </w:r>
      <w:r w:rsidR="00EB6B6E">
        <w:t>-&gt;Bryant</w:t>
      </w:r>
      <w:r w:rsidR="000A237B">
        <w:t>, MTSS/IST</w:t>
      </w:r>
      <w:r w:rsidR="001B5657">
        <w:t>(Rich)</w:t>
      </w:r>
      <w:r w:rsidR="00EB6B6E">
        <w:t>-&gt;ALL</w:t>
      </w:r>
      <w:r w:rsidR="000A237B">
        <w:t>, SIT</w:t>
      </w:r>
      <w:r w:rsidR="00EB6B6E">
        <w:t>-&gt;ALL</w:t>
      </w:r>
      <w:r w:rsidR="000A237B">
        <w:t>, Literacy Committee/MTAC</w:t>
      </w:r>
      <w:r w:rsidR="001B5657">
        <w:t>(Virost, Butterfield, Campbell)</w:t>
      </w:r>
      <w:r w:rsidR="00EB6B6E">
        <w:t>-&gt;Wade</w:t>
      </w:r>
      <w:r w:rsidR="000A237B">
        <w:t>, Math Committee</w:t>
      </w:r>
      <w:r w:rsidR="00F234C1">
        <w:t>(Coltrane, Calloway)</w:t>
      </w:r>
      <w:r w:rsidR="00EB6B6E">
        <w:t>-&gt; Wade</w:t>
      </w:r>
      <w:r w:rsidR="000A237B">
        <w:t>, Parent Community Involvement</w:t>
      </w:r>
      <w:r w:rsidR="001B5657">
        <w:t>(Penn, Hughes)</w:t>
      </w:r>
      <w:r w:rsidR="00EB6B6E">
        <w:t>-&gt;Flowers</w:t>
      </w:r>
      <w:r w:rsidR="000A237B">
        <w:t>, Yearbook</w:t>
      </w:r>
      <w:r w:rsidR="00F234C1">
        <w:t>(Cross, Yang)</w:t>
      </w:r>
      <w:r w:rsidR="000A237B">
        <w:t>, Hospitality</w:t>
      </w:r>
      <w:r w:rsidR="001B5657">
        <w:t>(Fuller)</w:t>
      </w:r>
      <w:r w:rsidR="00EB6B6E">
        <w:t>-&gt;Bryant</w:t>
      </w:r>
      <w:r w:rsidR="000A237B">
        <w:t>, ILT</w:t>
      </w:r>
      <w:r w:rsidR="001B5657">
        <w:t>(</w:t>
      </w:r>
      <w:r w:rsidR="00F234C1">
        <w:t>Estefan)</w:t>
      </w:r>
      <w:r w:rsidR="00EB6B6E">
        <w:t>-&gt; Wade</w:t>
      </w:r>
      <w:r w:rsidR="000A237B">
        <w:br/>
        <w:t>Possibly meet once a month, and have SIT members meet in a subcommittee and provide feedback. Drive conversations towards the Indistar</w:t>
      </w:r>
      <w:bookmarkStart w:id="0" w:name="_GoBack"/>
      <w:bookmarkEnd w:id="0"/>
      <w:r w:rsidR="000A237B">
        <w:t xml:space="preserve"> goals. </w:t>
      </w:r>
      <w:r w:rsidR="00C47C9F">
        <w:br/>
        <w:t xml:space="preserve">- </w:t>
      </w:r>
      <w:r w:rsidR="00BC5FB5">
        <w:t>W</w:t>
      </w:r>
      <w:r w:rsidR="00C47C9F">
        <w:t>e discussed what this will look like for Fall Festival and Multicultural.</w:t>
      </w:r>
      <w:r w:rsidR="008437D1">
        <w:t xml:space="preserve"> We voted on SIT members joining the other 8, so we can share the progress towards the indicators. </w:t>
      </w:r>
    </w:p>
    <w:p w14:paraId="6506AB05" w14:textId="28BABE6B" w:rsidR="001B5657" w:rsidRDefault="001B5657" w:rsidP="000A237B">
      <w:pPr>
        <w:pStyle w:val="ListParagraph"/>
        <w:ind w:left="1080"/>
      </w:pPr>
    </w:p>
    <w:p w14:paraId="1F27D143" w14:textId="35C86BA9" w:rsidR="001B5657" w:rsidRDefault="001B5657" w:rsidP="000A237B">
      <w:pPr>
        <w:pStyle w:val="ListParagraph"/>
        <w:ind w:left="1080"/>
      </w:pPr>
    </w:p>
    <w:p w14:paraId="64ADD6E1" w14:textId="6228C001" w:rsidR="008437D1" w:rsidRDefault="008437D1" w:rsidP="008437D1"/>
    <w:p w14:paraId="614D77DC" w14:textId="77777777" w:rsidR="00544CC6" w:rsidRPr="00544CC6" w:rsidRDefault="00544CC6" w:rsidP="00544CC6">
      <w:pPr>
        <w:rPr>
          <w:vertAlign w:val="superscript"/>
        </w:rPr>
      </w:pPr>
    </w:p>
    <w:sectPr w:rsidR="00544CC6" w:rsidRPr="0054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4259"/>
    <w:multiLevelType w:val="hybridMultilevel"/>
    <w:tmpl w:val="1D28D906"/>
    <w:lvl w:ilvl="0" w:tplc="B2E80A34">
      <w:start w:val="9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C3ED3"/>
    <w:multiLevelType w:val="hybridMultilevel"/>
    <w:tmpl w:val="3A7406B2"/>
    <w:lvl w:ilvl="0" w:tplc="28F6C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C2"/>
    <w:rsid w:val="000A237B"/>
    <w:rsid w:val="001B5657"/>
    <w:rsid w:val="003372FE"/>
    <w:rsid w:val="003D59ED"/>
    <w:rsid w:val="004274C2"/>
    <w:rsid w:val="00544CC6"/>
    <w:rsid w:val="006625E0"/>
    <w:rsid w:val="007E70D9"/>
    <w:rsid w:val="008437D1"/>
    <w:rsid w:val="009A3DC8"/>
    <w:rsid w:val="009D552D"/>
    <w:rsid w:val="00BC5FB5"/>
    <w:rsid w:val="00C47C9F"/>
    <w:rsid w:val="00CE4F00"/>
    <w:rsid w:val="00D66111"/>
    <w:rsid w:val="00D71E53"/>
    <w:rsid w:val="00EB6B6E"/>
    <w:rsid w:val="00F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A6A6"/>
  <w15:chartTrackingRefBased/>
  <w15:docId w15:val="{49F1AC1D-6A20-48CF-B1F7-799761B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0528C49188B42894DE72D36F36E24" ma:contentTypeVersion="9" ma:contentTypeDescription="Create a new document." ma:contentTypeScope="" ma:versionID="d3e6de474c013f1850b4a99a81ec158c">
  <xsd:schema xmlns:xsd="http://www.w3.org/2001/XMLSchema" xmlns:xs="http://www.w3.org/2001/XMLSchema" xmlns:p="http://schemas.microsoft.com/office/2006/metadata/properties" xmlns:ns3="53b3b2d8-14ba-4302-804e-b82f42731101" xmlns:ns4="0948e452-59db-4143-80be-a62bc70dddb8" targetNamespace="http://schemas.microsoft.com/office/2006/metadata/properties" ma:root="true" ma:fieldsID="7b0dea5e91991e60618302701d1a17bf" ns3:_="" ns4:_="">
    <xsd:import namespace="53b3b2d8-14ba-4302-804e-b82f42731101"/>
    <xsd:import namespace="0948e452-59db-4143-80be-a62bc70dd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b2d8-14ba-4302-804e-b82f4273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e452-59db-4143-80be-a62bc70dd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ED69D-E5A0-4F2D-8770-0E99C9E7A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6B1E4-3C08-4B99-8E1B-82BAC4A9806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948e452-59db-4143-80be-a62bc70dddb8"/>
    <ds:schemaRef ds:uri="http://purl.org/dc/dcmitype/"/>
    <ds:schemaRef ds:uri="53b3b2d8-14ba-4302-804e-b82f4273110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94CD05-26D5-4EE3-956A-CD31E6DA4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b2d8-14ba-4302-804e-b82f42731101"/>
    <ds:schemaRef ds:uri="0948e452-59db-4143-80be-a62bc70d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3</cp:revision>
  <dcterms:created xsi:type="dcterms:W3CDTF">2019-08-27T20:43:00Z</dcterms:created>
  <dcterms:modified xsi:type="dcterms:W3CDTF">2019-10-28T14:58:00Z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0x0101008CE0528C49188B42894DE72D36F36E24</vt:lpwstr>
  </property>
</Properties>
</file>