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pP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jc w:val="both"/>
        <w:rPr/>
      </w:pPr>
      <w:r w:rsidDel="00000000" w:rsidR="00000000" w:rsidRPr="00000000">
        <w:rPr>
          <w:u w:val="single"/>
          <w:rtl w:val="0"/>
        </w:rPr>
        <w:t xml:space="preserve">New Construction</w:t>
      </w:r>
      <w:r w:rsidDel="00000000" w:rsidR="00000000" w:rsidRPr="00000000">
        <w:rPr>
          <w:rtl w:val="0"/>
        </w:rPr>
      </w:r>
    </w:p>
    <w:p w:rsidR="00000000" w:rsidDel="00000000" w:rsidP="00000000" w:rsidRDefault="00000000" w:rsidRPr="00000000" w14:paraId="00000004">
      <w:pPr>
        <w:widowControl w:val="0"/>
        <w:jc w:val="both"/>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u w:val="single"/>
          <w:rtl w:val="0"/>
        </w:rPr>
        <w:t xml:space="preserve">Facilities - Performance, Labor and Material Payment Bonds</w:t>
      </w: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Whenever any contract is entered into for the erecting, furnishing, or repairing of any building or other public structure or improvement, the contractor shall be required, before commencing such work, to furnish a performance, labor and material payment bond.  The bond requirement shall not apply, however, to any project bid or proposed project that has a total cost of $10,000 or less, unless the School Board includes a bond requirement in the specifications for the project.</w:t>
      </w:r>
    </w:p>
    <w:p w:rsidR="00000000" w:rsidDel="00000000" w:rsidP="00000000" w:rsidRDefault="00000000" w:rsidRPr="00000000" w14:paraId="00000008">
      <w:pPr>
        <w:widowControl w:val="0"/>
        <w:jc w:val="both"/>
        <w:rPr/>
      </w:pPr>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t xml:space="preserve">The bond shall be in an amount not less than the contract price. The bond shall be conditioned on the faithful performance of the contract and the payment by the contracting party of all laborers and mechanics for labor that is performed and of all material and equipment rental that is actually used or rented in connection with the improvement project and the performance of the contract.  Such bond shall contain such provisions as are required by statutes, and be in a form prescribed and required by the district.</w:t>
      </w:r>
    </w:p>
    <w:p w:rsidR="00000000" w:rsidDel="00000000" w:rsidP="00000000" w:rsidRDefault="00000000" w:rsidRPr="00000000" w14:paraId="0000000A">
      <w:pPr>
        <w:widowControl w:val="0"/>
        <w:jc w:val="both"/>
        <w:rPr/>
      </w:pPr>
      <w:r w:rsidDel="00000000" w:rsidR="00000000" w:rsidRPr="00000000">
        <w:rPr>
          <w:rtl w:val="0"/>
        </w:rPr>
      </w:r>
    </w:p>
    <w:p w:rsidR="00000000" w:rsidDel="00000000" w:rsidP="00000000" w:rsidRDefault="00000000" w:rsidRPr="00000000" w14:paraId="0000000B">
      <w:pPr>
        <w:widowControl w:val="0"/>
        <w:jc w:val="both"/>
        <w:rPr/>
      </w:pPr>
      <w:r w:rsidDel="00000000" w:rsidR="00000000" w:rsidRPr="00000000">
        <w:rPr>
          <w:rtl w:val="0"/>
        </w:rPr>
        <w:t xml:space="preserve">Legal Reference:</w:t>
        <w:tab/>
        <w:t xml:space="preserve">Neb. Rev. Stat. 52-118</w:t>
      </w:r>
    </w:p>
    <w:p w:rsidR="00000000" w:rsidDel="00000000" w:rsidP="00000000" w:rsidRDefault="00000000" w:rsidRPr="00000000" w14:paraId="0000000C">
      <w:pPr>
        <w:widowControl w:val="0"/>
        <w:jc w:val="both"/>
        <w:rPr/>
      </w:pPr>
      <w:r w:rsidDel="00000000" w:rsidR="00000000" w:rsidRPr="00000000">
        <w:rPr>
          <w:rtl w:val="0"/>
        </w:rPr>
      </w:r>
    </w:p>
    <w:p w:rsidR="00000000" w:rsidDel="00000000" w:rsidP="00000000" w:rsidRDefault="00000000" w:rsidRPr="00000000" w14:paraId="0000000D">
      <w:pPr>
        <w:widowControl w:val="0"/>
        <w:jc w:val="both"/>
        <w:rPr/>
      </w:pPr>
      <w:r w:rsidDel="00000000" w:rsidR="00000000" w:rsidRPr="00000000">
        <w:rPr>
          <w:rtl w:val="0"/>
        </w:rPr>
        <w:t xml:space="preserve">Date of Adoption: August 13, 2007</w:t>
      </w:r>
    </w:p>
    <w:p w:rsidR="00000000" w:rsidDel="00000000" w:rsidP="00000000" w:rsidRDefault="00000000" w:rsidRPr="00000000" w14:paraId="0000000E">
      <w:pPr>
        <w:widowControl w:val="0"/>
        <w:jc w:val="both"/>
        <w:rPr/>
      </w:pPr>
      <w:r w:rsidDel="00000000" w:rsidR="00000000" w:rsidRPr="00000000">
        <w:rPr>
          <w:rtl w:val="0"/>
        </w:rPr>
        <w:t xml:space="preserve">Reviewed: Oct. 13, 2008, Oct. 12, 2009, Oct. 11, 2010, Oct. 10, 2011, Oct. 8, 2012,</w:t>
      </w:r>
    </w:p>
    <w:p w:rsidR="00000000" w:rsidDel="00000000" w:rsidP="00000000" w:rsidRDefault="00000000" w:rsidRPr="00000000" w14:paraId="0000000F">
      <w:pPr>
        <w:widowControl w:val="0"/>
        <w:jc w:val="both"/>
        <w:rPr/>
      </w:pPr>
      <w:r w:rsidDel="00000000" w:rsidR="00000000" w:rsidRPr="00000000">
        <w:rPr>
          <w:rtl w:val="0"/>
        </w:rPr>
        <w:t xml:space="preserve">Nov. 11, 2013, Nov. 10, 2014, Oct. 12, 2015, Oct. 10, 2016, Oct. 9, 2017, Oct. 8, 2018, Oct. 14, 2019, Nov. 9, 2020, Dec. 13, 2021, Nov. 14, 2022, Nov. 13, 2023, Nov. 11, 2024</w:t>
      </w:r>
    </w:p>
    <w:sectPr>
      <w:headerReference r:id="rId7" w:type="default"/>
      <w:headerReference r:id="rId8" w:type="even"/>
      <w:footerReference r:id="rId9" w:type="default"/>
      <w:footerReference r:id="rId10" w:type="even"/>
      <w:pgSz w:h="15840" w:w="12240" w:orient="portrait"/>
      <w:pgMar w:bottom="1200" w:top="12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widowControl w:val="0"/>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widowControl w:val="0"/>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7053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7053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4C71"/>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3C730B"/>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6/OCZDWWZXctp37AZZVFlw2aw==">CgMxLjA4AHIhMUVMaW1uQURnZERMbXR1SFNDT2N2azIxcWRYcXJ3YVl1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2023-11-17T21:50:00Z</dcterms:created>
  <dc:creator>Anthony Nabower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1422202154</vt:i4>
  </property>
  <property fmtid="{D5CDD505-2E9C-101B-9397-08002B2CF9AE}" pid="3" name="_EmailSubject">
    <vt:lpwstr>2007 Annual Policy Update</vt:lpwstr>
  </property>
  <property fmtid="{D5CDD505-2E9C-101B-9397-08002B2CF9AE}" pid="4" name="_AuthorEmail">
    <vt:lpwstr>gperry@perrylawfirm.com</vt:lpwstr>
  </property>
  <property fmtid="{D5CDD505-2E9C-101B-9397-08002B2CF9AE}" pid="5" name="_AuthorEmailDisplayName">
    <vt:lpwstr>Gregory Perry</vt:lpwstr>
  </property>
</Properties>
</file>