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93F596" w14:textId="77777777" w:rsidR="007F55C1" w:rsidRPr="00DD5529" w:rsidRDefault="007F55C1" w:rsidP="007F55C1">
      <w:pPr>
        <w:jc w:val="both"/>
        <w:rPr>
          <w:sz w:val="24"/>
          <w:szCs w:val="24"/>
          <w:u w:val="single"/>
        </w:rPr>
      </w:pPr>
      <w:r w:rsidRPr="00DD5529">
        <w:rPr>
          <w:sz w:val="24"/>
          <w:szCs w:val="24"/>
          <w:u w:val="single"/>
        </w:rPr>
        <w:t>Business Operations</w:t>
      </w:r>
    </w:p>
    <w:p w14:paraId="66414273" w14:textId="77777777" w:rsidR="007F55C1" w:rsidRPr="00DD5529" w:rsidRDefault="007F55C1" w:rsidP="00DA026A">
      <w:pPr>
        <w:rPr>
          <w:b/>
          <w:sz w:val="24"/>
          <w:szCs w:val="24"/>
        </w:rPr>
      </w:pPr>
    </w:p>
    <w:p w14:paraId="709F1023" w14:textId="77777777" w:rsidR="0013195F" w:rsidRPr="00DD5529" w:rsidRDefault="00F47BBE" w:rsidP="00DA026A">
      <w:pPr>
        <w:rPr>
          <w:sz w:val="24"/>
          <w:szCs w:val="24"/>
          <w:u w:val="single"/>
        </w:rPr>
      </w:pPr>
      <w:r w:rsidRPr="00DD5529">
        <w:rPr>
          <w:sz w:val="24"/>
          <w:szCs w:val="24"/>
          <w:u w:val="single"/>
        </w:rPr>
        <w:t>Procedures—Bidding Construction Projects</w:t>
      </w:r>
      <w:r w:rsidR="00C96688" w:rsidRPr="00DD5529">
        <w:rPr>
          <w:sz w:val="24"/>
          <w:szCs w:val="24"/>
          <w:u w:val="single"/>
        </w:rPr>
        <w:t xml:space="preserve"> </w:t>
      </w:r>
    </w:p>
    <w:p w14:paraId="213B112B" w14:textId="0BA37844" w:rsidR="007F55C1" w:rsidRPr="00DD5529" w:rsidRDefault="007F55C1" w:rsidP="007F55C1">
      <w:pPr>
        <w:spacing w:before="99"/>
        <w:jc w:val="both"/>
        <w:rPr>
          <w:sz w:val="24"/>
          <w:szCs w:val="24"/>
        </w:rPr>
      </w:pPr>
      <w:r w:rsidRPr="00DD5529">
        <w:rPr>
          <w:sz w:val="24"/>
          <w:szCs w:val="24"/>
        </w:rPr>
        <w:t xml:space="preserve">The District shall bid every project for the construction, remodeling, or repair of any school-owned building or for site improvements when the contemplated expenditures for the project is </w:t>
      </w:r>
      <w:r w:rsidR="000A15E7" w:rsidRPr="00DD5529">
        <w:rPr>
          <w:sz w:val="24"/>
          <w:szCs w:val="24"/>
        </w:rPr>
        <w:t>in excess of</w:t>
      </w:r>
      <w:r w:rsidRPr="00DD5529">
        <w:rPr>
          <w:sz w:val="24"/>
          <w:szCs w:val="24"/>
        </w:rPr>
        <w:t xml:space="preserve"> </w:t>
      </w:r>
      <w:r w:rsidR="005C6935">
        <w:rPr>
          <w:sz w:val="24"/>
          <w:szCs w:val="24"/>
        </w:rPr>
        <w:t>o</w:t>
      </w:r>
      <w:r w:rsidR="00045E41">
        <w:rPr>
          <w:sz w:val="24"/>
          <w:szCs w:val="24"/>
        </w:rPr>
        <w:t xml:space="preserve">ne </w:t>
      </w:r>
      <w:r w:rsidR="005C6935">
        <w:rPr>
          <w:sz w:val="24"/>
          <w:szCs w:val="24"/>
        </w:rPr>
        <w:t>h</w:t>
      </w:r>
      <w:r w:rsidR="00045E41">
        <w:rPr>
          <w:sz w:val="24"/>
          <w:szCs w:val="24"/>
        </w:rPr>
        <w:t xml:space="preserve">undred </w:t>
      </w:r>
      <w:r w:rsidR="005C6935">
        <w:rPr>
          <w:sz w:val="24"/>
          <w:szCs w:val="24"/>
        </w:rPr>
        <w:t>n</w:t>
      </w:r>
      <w:r w:rsidR="00045E41">
        <w:rPr>
          <w:sz w:val="24"/>
          <w:szCs w:val="24"/>
        </w:rPr>
        <w:t xml:space="preserve">ine </w:t>
      </w:r>
      <w:r w:rsidR="005C6935">
        <w:rPr>
          <w:sz w:val="24"/>
          <w:szCs w:val="24"/>
        </w:rPr>
        <w:t>t</w:t>
      </w:r>
      <w:r w:rsidR="00045E41">
        <w:rPr>
          <w:sz w:val="24"/>
          <w:szCs w:val="24"/>
        </w:rPr>
        <w:t xml:space="preserve">housand </w:t>
      </w:r>
      <w:r w:rsidR="005C6935">
        <w:rPr>
          <w:sz w:val="24"/>
          <w:szCs w:val="24"/>
        </w:rPr>
        <w:t>d</w:t>
      </w:r>
      <w:r w:rsidR="00045E41">
        <w:rPr>
          <w:sz w:val="24"/>
          <w:szCs w:val="24"/>
        </w:rPr>
        <w:t>ollars (</w:t>
      </w:r>
      <w:r w:rsidRPr="00DD5529">
        <w:rPr>
          <w:sz w:val="24"/>
          <w:szCs w:val="24"/>
        </w:rPr>
        <w:t>$</w:t>
      </w:r>
      <w:r w:rsidR="00604A93" w:rsidRPr="00DD5529">
        <w:rPr>
          <w:sz w:val="24"/>
          <w:szCs w:val="24"/>
        </w:rPr>
        <w:t>109</w:t>
      </w:r>
      <w:r w:rsidRPr="00DD5529">
        <w:rPr>
          <w:sz w:val="24"/>
          <w:szCs w:val="24"/>
        </w:rPr>
        <w:t>,000</w:t>
      </w:r>
      <w:r w:rsidR="00045E41">
        <w:rPr>
          <w:sz w:val="24"/>
          <w:szCs w:val="24"/>
        </w:rPr>
        <w:t>)</w:t>
      </w:r>
      <w:r w:rsidR="000A15E7" w:rsidRPr="00DD5529">
        <w:rPr>
          <w:sz w:val="24"/>
          <w:szCs w:val="24"/>
        </w:rPr>
        <w:t xml:space="preserve">, or such sum as adjusted pursuant to </w:t>
      </w:r>
      <w:r w:rsidR="002A1387" w:rsidRPr="00DD5529">
        <w:rPr>
          <w:sz w:val="24"/>
          <w:szCs w:val="24"/>
        </w:rPr>
        <w:t xml:space="preserve">Section </w:t>
      </w:r>
      <w:r w:rsidR="000A15E7" w:rsidRPr="00DD5529">
        <w:rPr>
          <w:sz w:val="24"/>
          <w:szCs w:val="24"/>
        </w:rPr>
        <w:t>73-106</w:t>
      </w:r>
      <w:r w:rsidRPr="00DD5529">
        <w:rPr>
          <w:sz w:val="24"/>
          <w:szCs w:val="24"/>
        </w:rPr>
        <w:t>. The bidding procedures shall comply with the requirements of state law and shall include the following:</w:t>
      </w:r>
    </w:p>
    <w:p w14:paraId="720E5B3C" w14:textId="77777777" w:rsidR="007F55C1" w:rsidRPr="00DD5529" w:rsidRDefault="007F55C1" w:rsidP="007F55C1">
      <w:pPr>
        <w:jc w:val="both"/>
        <w:rPr>
          <w:sz w:val="24"/>
          <w:szCs w:val="24"/>
        </w:rPr>
      </w:pPr>
    </w:p>
    <w:p w14:paraId="2BCF0AFA" w14:textId="1949786F" w:rsidR="007F55C1" w:rsidRPr="00DD5529" w:rsidRDefault="007F55C1" w:rsidP="009F7A51">
      <w:pPr>
        <w:ind w:left="720" w:hanging="720"/>
        <w:jc w:val="both"/>
        <w:rPr>
          <w:sz w:val="24"/>
          <w:szCs w:val="24"/>
        </w:rPr>
      </w:pPr>
      <w:r w:rsidRPr="00DD5529">
        <w:rPr>
          <w:sz w:val="24"/>
          <w:szCs w:val="24"/>
        </w:rPr>
        <w:t>1.</w:t>
      </w:r>
      <w:r w:rsidRPr="00DD5529">
        <w:rPr>
          <w:sz w:val="24"/>
          <w:szCs w:val="24"/>
        </w:rPr>
        <w:tab/>
      </w:r>
      <w:r w:rsidRPr="00DD5529">
        <w:rPr>
          <w:sz w:val="24"/>
          <w:szCs w:val="24"/>
          <w:u w:val="single"/>
        </w:rPr>
        <w:t>Notice to Bidders</w:t>
      </w:r>
      <w:r w:rsidRPr="00DD5529">
        <w:rPr>
          <w:sz w:val="24"/>
          <w:szCs w:val="24"/>
        </w:rPr>
        <w:t>:</w:t>
      </w:r>
      <w:r w:rsidR="00045E41">
        <w:rPr>
          <w:sz w:val="24"/>
          <w:szCs w:val="24"/>
        </w:rPr>
        <w:t xml:space="preserve">   </w:t>
      </w:r>
      <w:r w:rsidRPr="00DD5529">
        <w:rPr>
          <w:sz w:val="24"/>
          <w:szCs w:val="24"/>
        </w:rPr>
        <w:t>The Administration shall prepare a notice to bidders containing a general description of the scope of the project being bid; the location of the project; the means of obtaining project documents, including plans and specifications; the date and hour bids will close; and the date, hour and place bids are to be returned, received and opened, and a provision that such bids will be immediately and simultaneously opened in the presence of the bidders or representatives of the bidders</w:t>
      </w:r>
      <w:r w:rsidR="002B20FB" w:rsidRPr="00DD5529">
        <w:rPr>
          <w:sz w:val="24"/>
          <w:szCs w:val="24"/>
        </w:rPr>
        <w:t xml:space="preserve">, when the hour is reached for the bids to close. </w:t>
      </w:r>
      <w:r w:rsidRPr="00DD5529">
        <w:rPr>
          <w:sz w:val="24"/>
          <w:szCs w:val="24"/>
        </w:rPr>
        <w:t xml:space="preserve"> </w:t>
      </w:r>
    </w:p>
    <w:p w14:paraId="40E4EE2A" w14:textId="77777777" w:rsidR="007F55C1" w:rsidRPr="00DD5529" w:rsidRDefault="007F55C1" w:rsidP="007F55C1">
      <w:pPr>
        <w:ind w:left="1440" w:hanging="720"/>
        <w:jc w:val="both"/>
        <w:rPr>
          <w:sz w:val="24"/>
          <w:szCs w:val="24"/>
        </w:rPr>
      </w:pPr>
    </w:p>
    <w:p w14:paraId="299196D4" w14:textId="77777777" w:rsidR="007F55C1" w:rsidRPr="00DD5529" w:rsidRDefault="007F55C1" w:rsidP="009F7A51">
      <w:pPr>
        <w:ind w:left="720" w:hanging="720"/>
        <w:jc w:val="both"/>
        <w:rPr>
          <w:sz w:val="24"/>
          <w:szCs w:val="24"/>
        </w:rPr>
      </w:pPr>
      <w:r w:rsidRPr="00DD5529">
        <w:rPr>
          <w:sz w:val="24"/>
          <w:szCs w:val="24"/>
        </w:rPr>
        <w:t>2.</w:t>
      </w:r>
      <w:r w:rsidRPr="00DD5529">
        <w:rPr>
          <w:sz w:val="24"/>
          <w:szCs w:val="24"/>
        </w:rPr>
        <w:tab/>
      </w:r>
      <w:r w:rsidRPr="00DD5529">
        <w:rPr>
          <w:sz w:val="24"/>
          <w:szCs w:val="24"/>
          <w:u w:val="single"/>
        </w:rPr>
        <w:t>Regular Manner of Advertisement for Bids</w:t>
      </w:r>
      <w:r w:rsidRPr="00DD5529">
        <w:rPr>
          <w:sz w:val="24"/>
          <w:szCs w:val="24"/>
        </w:rPr>
        <w:t xml:space="preserve">: The notice to bidders shall be published one time in a newspaper of general circulation in the School District.  The notice shall be published at least seven (7) days prior to the date designated for the opening of such bids. The Board of Education or Administration may, in its sole discretion, elect to utilize further advertisement for bids as it may determine appropriate to secure a sufficient number of qualified bidders for the scope of the project.  </w:t>
      </w:r>
    </w:p>
    <w:p w14:paraId="51540720" w14:textId="77777777" w:rsidR="007F55C1" w:rsidRPr="00DD5529" w:rsidRDefault="007F55C1" w:rsidP="007F55C1">
      <w:pPr>
        <w:ind w:left="1440" w:hanging="720"/>
        <w:jc w:val="both"/>
        <w:rPr>
          <w:sz w:val="24"/>
          <w:szCs w:val="24"/>
        </w:rPr>
      </w:pPr>
    </w:p>
    <w:p w14:paraId="1FA234BD" w14:textId="77777777" w:rsidR="007F55C1" w:rsidRPr="00DD5529" w:rsidRDefault="007F55C1" w:rsidP="009F7A51">
      <w:pPr>
        <w:ind w:left="720" w:hanging="720"/>
        <w:jc w:val="both"/>
        <w:rPr>
          <w:sz w:val="24"/>
          <w:szCs w:val="24"/>
        </w:rPr>
      </w:pPr>
      <w:r w:rsidRPr="00DD5529">
        <w:rPr>
          <w:sz w:val="24"/>
          <w:szCs w:val="24"/>
        </w:rPr>
        <w:t>3.</w:t>
      </w:r>
      <w:r w:rsidRPr="00DD5529">
        <w:rPr>
          <w:sz w:val="24"/>
          <w:szCs w:val="24"/>
        </w:rPr>
        <w:tab/>
      </w:r>
      <w:r w:rsidRPr="00DD5529">
        <w:rPr>
          <w:sz w:val="24"/>
          <w:szCs w:val="24"/>
          <w:u w:val="single"/>
        </w:rPr>
        <w:t>Bid Opening</w:t>
      </w:r>
      <w:r w:rsidRPr="00DD5529">
        <w:rPr>
          <w:sz w:val="24"/>
          <w:szCs w:val="24"/>
        </w:rPr>
        <w:t>:</w:t>
      </w:r>
      <w:r w:rsidRPr="00DD5529">
        <w:rPr>
          <w:sz w:val="24"/>
          <w:szCs w:val="24"/>
        </w:rPr>
        <w:tab/>
        <w:t>When the hour is reached for such bids to close, bids will be immediately and simultaneously opened in the presence of the bidders or representatives of the bidders.</w:t>
      </w:r>
    </w:p>
    <w:p w14:paraId="2CCDEF88" w14:textId="77777777" w:rsidR="007F55C1" w:rsidRPr="00DD5529" w:rsidRDefault="007F55C1" w:rsidP="007F55C1">
      <w:pPr>
        <w:ind w:left="1440" w:hanging="720"/>
        <w:jc w:val="both"/>
        <w:rPr>
          <w:sz w:val="24"/>
          <w:szCs w:val="24"/>
        </w:rPr>
      </w:pPr>
    </w:p>
    <w:p w14:paraId="736B0913" w14:textId="77777777" w:rsidR="007F55C1" w:rsidRPr="00DD5529" w:rsidRDefault="007F55C1" w:rsidP="009F7A51">
      <w:pPr>
        <w:ind w:left="720" w:hanging="720"/>
        <w:jc w:val="both"/>
        <w:rPr>
          <w:sz w:val="24"/>
          <w:szCs w:val="24"/>
        </w:rPr>
      </w:pPr>
      <w:r w:rsidRPr="00DD5529">
        <w:rPr>
          <w:sz w:val="24"/>
          <w:szCs w:val="24"/>
        </w:rPr>
        <w:t>4.</w:t>
      </w:r>
      <w:r w:rsidRPr="00DD5529">
        <w:rPr>
          <w:sz w:val="24"/>
          <w:szCs w:val="24"/>
        </w:rPr>
        <w:tab/>
      </w:r>
      <w:r w:rsidRPr="00DD5529">
        <w:rPr>
          <w:sz w:val="24"/>
          <w:szCs w:val="24"/>
          <w:u w:val="single"/>
        </w:rPr>
        <w:t>Contract Award</w:t>
      </w:r>
      <w:r w:rsidRPr="00DD5529">
        <w:rPr>
          <w:sz w:val="24"/>
          <w:szCs w:val="24"/>
        </w:rPr>
        <w:t xml:space="preserve">: The contract shall be awarded to the lowest responsible bidder as to the extent required by law.  When not so required, the award shall be made on the basis of consideration of the contract award criteria </w:t>
      </w:r>
      <w:r w:rsidR="00686766" w:rsidRPr="00DD5529">
        <w:rPr>
          <w:sz w:val="24"/>
          <w:szCs w:val="24"/>
        </w:rPr>
        <w:t>determined appropriate by the Board or administration</w:t>
      </w:r>
      <w:r w:rsidRPr="00DD5529">
        <w:rPr>
          <w:sz w:val="24"/>
          <w:szCs w:val="24"/>
        </w:rPr>
        <w:t>.</w:t>
      </w:r>
    </w:p>
    <w:p w14:paraId="6C48017B" w14:textId="77777777" w:rsidR="007F55C1" w:rsidRPr="00DD5529" w:rsidRDefault="007F55C1" w:rsidP="007F55C1">
      <w:pPr>
        <w:ind w:left="1440" w:hanging="720"/>
        <w:jc w:val="both"/>
        <w:rPr>
          <w:sz w:val="24"/>
          <w:szCs w:val="24"/>
        </w:rPr>
      </w:pPr>
    </w:p>
    <w:p w14:paraId="216DB4F6" w14:textId="784DDDB3" w:rsidR="00030E44" w:rsidRPr="00DD5529" w:rsidRDefault="007F55C1" w:rsidP="009F7A51">
      <w:pPr>
        <w:numPr>
          <w:ilvl w:val="0"/>
          <w:numId w:val="1"/>
        </w:numPr>
        <w:tabs>
          <w:tab w:val="clear" w:pos="1080"/>
        </w:tabs>
        <w:ind w:left="720" w:hanging="720"/>
        <w:jc w:val="both"/>
        <w:rPr>
          <w:sz w:val="24"/>
          <w:szCs w:val="24"/>
        </w:rPr>
      </w:pPr>
      <w:r w:rsidRPr="00DD5529">
        <w:rPr>
          <w:sz w:val="24"/>
          <w:szCs w:val="24"/>
          <w:u w:val="single"/>
        </w:rPr>
        <w:t>Performance and Payment Bonds</w:t>
      </w:r>
      <w:r w:rsidRPr="00DD5529">
        <w:rPr>
          <w:sz w:val="24"/>
          <w:szCs w:val="24"/>
        </w:rPr>
        <w:t xml:space="preserve">.  Whenever any contract is entered into for the erecting, furnishing, or repairing of any building or other public structure or improvement, the contractor shall be required, before commencing such work, to furnish a performance, labor and material payment bond.  The bond requirement shall not apply, however, to any project bid or proposed which has a total cost of </w:t>
      </w:r>
      <w:r w:rsidR="005C6935">
        <w:rPr>
          <w:sz w:val="24"/>
          <w:szCs w:val="24"/>
        </w:rPr>
        <w:t>t</w:t>
      </w:r>
      <w:r w:rsidR="00045E41">
        <w:rPr>
          <w:sz w:val="24"/>
          <w:szCs w:val="24"/>
        </w:rPr>
        <w:t xml:space="preserve">en </w:t>
      </w:r>
      <w:r w:rsidR="005C6935">
        <w:rPr>
          <w:sz w:val="24"/>
          <w:szCs w:val="24"/>
        </w:rPr>
        <w:t>t</w:t>
      </w:r>
      <w:r w:rsidR="00045E41">
        <w:rPr>
          <w:sz w:val="24"/>
          <w:szCs w:val="24"/>
        </w:rPr>
        <w:t xml:space="preserve">housand </w:t>
      </w:r>
      <w:r w:rsidR="005C6935">
        <w:rPr>
          <w:sz w:val="24"/>
          <w:szCs w:val="24"/>
        </w:rPr>
        <w:t>d</w:t>
      </w:r>
      <w:r w:rsidR="00045E41">
        <w:rPr>
          <w:sz w:val="24"/>
          <w:szCs w:val="24"/>
        </w:rPr>
        <w:t>ollars (</w:t>
      </w:r>
      <w:r w:rsidRPr="00DD5529">
        <w:rPr>
          <w:sz w:val="24"/>
          <w:szCs w:val="24"/>
        </w:rPr>
        <w:t>$10,000</w:t>
      </w:r>
      <w:r w:rsidR="00045E41">
        <w:rPr>
          <w:sz w:val="24"/>
          <w:szCs w:val="24"/>
        </w:rPr>
        <w:t>)</w:t>
      </w:r>
      <w:r w:rsidRPr="00DD5529">
        <w:rPr>
          <w:sz w:val="24"/>
          <w:szCs w:val="24"/>
        </w:rPr>
        <w:t xml:space="preserve"> or less unless the School Board or Administration includes a bond requirement in the specifications for the project.</w:t>
      </w:r>
      <w:r w:rsidR="00AA0BD0" w:rsidRPr="00DD5529">
        <w:rPr>
          <w:sz w:val="24"/>
          <w:szCs w:val="24"/>
        </w:rPr>
        <w:t xml:space="preserve"> </w:t>
      </w:r>
      <w:r w:rsidRPr="00DD5529">
        <w:rPr>
          <w:sz w:val="24"/>
          <w:szCs w:val="24"/>
        </w:rPr>
        <w:t xml:space="preserve">The bond shall be in an amount not less than the contract price. The bond shall be conditioned on the faithful performance of the contract and the payment by the contracting party of all laborers and mechanics for labor that is performed and of all material and equipment rental that is actually used or rented in connection with the improvement project and the performance of the contract.  Such bond shall contain such provisions as are required by statutes, and be in a form prescribed and required by the district. </w:t>
      </w:r>
    </w:p>
    <w:p w14:paraId="08C3FCCA" w14:textId="77777777" w:rsidR="00030E44" w:rsidRPr="00DD5529" w:rsidRDefault="00030E44" w:rsidP="00030E44">
      <w:pPr>
        <w:ind w:left="720"/>
        <w:jc w:val="both"/>
        <w:rPr>
          <w:sz w:val="24"/>
          <w:szCs w:val="24"/>
        </w:rPr>
      </w:pPr>
    </w:p>
    <w:p w14:paraId="61C5866E" w14:textId="329E08DA" w:rsidR="00030E44" w:rsidRPr="00DD5529" w:rsidRDefault="00C03BE2" w:rsidP="00DD5529">
      <w:pPr>
        <w:widowControl/>
        <w:numPr>
          <w:ilvl w:val="0"/>
          <w:numId w:val="1"/>
        </w:numPr>
        <w:tabs>
          <w:tab w:val="clear" w:pos="1080"/>
        </w:tabs>
        <w:ind w:left="720" w:hanging="720"/>
        <w:jc w:val="both"/>
        <w:rPr>
          <w:sz w:val="24"/>
          <w:szCs w:val="24"/>
        </w:rPr>
      </w:pPr>
      <w:r w:rsidRPr="00DD5529">
        <w:rPr>
          <w:sz w:val="24"/>
          <w:szCs w:val="24"/>
          <w:u w:val="single"/>
        </w:rPr>
        <w:lastRenderedPageBreak/>
        <w:t xml:space="preserve">Retention of an </w:t>
      </w:r>
      <w:r w:rsidR="00030E44" w:rsidRPr="00DD5529">
        <w:rPr>
          <w:sz w:val="24"/>
          <w:szCs w:val="24"/>
          <w:u w:val="single"/>
        </w:rPr>
        <w:t>Architect or Engineer</w:t>
      </w:r>
      <w:r w:rsidR="00030E44" w:rsidRPr="00DD5529">
        <w:rPr>
          <w:sz w:val="24"/>
          <w:szCs w:val="24"/>
        </w:rPr>
        <w:t>.</w:t>
      </w:r>
      <w:r w:rsidRPr="00DD5529">
        <w:rPr>
          <w:sz w:val="24"/>
          <w:szCs w:val="24"/>
        </w:rPr>
        <w:t xml:space="preserve">  The School District shall not engage in the construction of any public works involving architecture or engineering unless the plans, specifications, and estimates have been prepared and the construction has been observed by an architect, a professional engineer, or a person under the direct supervision of an architect, professional engineer, or those under the direct supervision of an architect or professional engineer; provided that such requirement shall not apply to any public work in which the contemplated expenditure for the complete project does not exceed </w:t>
      </w:r>
      <w:r w:rsidR="002B26EC" w:rsidRPr="00DD5529">
        <w:rPr>
          <w:sz w:val="24"/>
          <w:szCs w:val="24"/>
        </w:rPr>
        <w:t xml:space="preserve">one hundred </w:t>
      </w:r>
      <w:r w:rsidR="00604A93" w:rsidRPr="00DD5529">
        <w:rPr>
          <w:sz w:val="24"/>
          <w:szCs w:val="24"/>
        </w:rPr>
        <w:t xml:space="preserve">and </w:t>
      </w:r>
      <w:r w:rsidR="00174376" w:rsidRPr="00DD5529">
        <w:rPr>
          <w:sz w:val="24"/>
          <w:szCs w:val="24"/>
        </w:rPr>
        <w:t>eighteen</w:t>
      </w:r>
      <w:r w:rsidR="00604A93" w:rsidRPr="00DD5529">
        <w:rPr>
          <w:sz w:val="24"/>
          <w:szCs w:val="24"/>
        </w:rPr>
        <w:t xml:space="preserve"> </w:t>
      </w:r>
      <w:r w:rsidRPr="00DD5529">
        <w:rPr>
          <w:sz w:val="24"/>
          <w:szCs w:val="24"/>
        </w:rPr>
        <w:t xml:space="preserve">thousand dollars </w:t>
      </w:r>
      <w:r w:rsidR="000A2286" w:rsidRPr="00DD5529">
        <w:rPr>
          <w:sz w:val="24"/>
          <w:szCs w:val="24"/>
        </w:rPr>
        <w:t>($</w:t>
      </w:r>
      <w:r w:rsidR="00604A93" w:rsidRPr="00DD5529">
        <w:rPr>
          <w:sz w:val="24"/>
          <w:szCs w:val="24"/>
        </w:rPr>
        <w:t>1</w:t>
      </w:r>
      <w:r w:rsidR="00174376" w:rsidRPr="00DD5529">
        <w:rPr>
          <w:sz w:val="24"/>
          <w:szCs w:val="24"/>
        </w:rPr>
        <w:t>18</w:t>
      </w:r>
      <w:r w:rsidR="000A2286" w:rsidRPr="00DD5529">
        <w:rPr>
          <w:sz w:val="24"/>
          <w:szCs w:val="24"/>
        </w:rPr>
        <w:t xml:space="preserve">,000), </w:t>
      </w:r>
      <w:r w:rsidR="002B26EC" w:rsidRPr="00DD5529">
        <w:rPr>
          <w:sz w:val="24"/>
          <w:szCs w:val="24"/>
        </w:rPr>
        <w:t xml:space="preserve">as adjusted from time to time by </w:t>
      </w:r>
      <w:r w:rsidR="002A1387" w:rsidRPr="00DD5529">
        <w:rPr>
          <w:sz w:val="24"/>
          <w:szCs w:val="24"/>
        </w:rPr>
        <w:t>Section</w:t>
      </w:r>
      <w:r w:rsidRPr="00DD5529">
        <w:rPr>
          <w:sz w:val="24"/>
          <w:szCs w:val="24"/>
        </w:rPr>
        <w:t xml:space="preserve"> 81-3445</w:t>
      </w:r>
      <w:r w:rsidR="002B26EC" w:rsidRPr="00DD5529">
        <w:rPr>
          <w:sz w:val="24"/>
          <w:szCs w:val="24"/>
        </w:rPr>
        <w:t xml:space="preserve"> or other applicable law</w:t>
      </w:r>
      <w:r w:rsidRPr="00DD5529">
        <w:rPr>
          <w:sz w:val="24"/>
          <w:szCs w:val="24"/>
        </w:rPr>
        <w:t xml:space="preserve">. </w:t>
      </w:r>
    </w:p>
    <w:p w14:paraId="71C31AE0" w14:textId="77777777" w:rsidR="00030E44" w:rsidRPr="00DD5529" w:rsidRDefault="00030E44" w:rsidP="00030E44">
      <w:pPr>
        <w:jc w:val="both"/>
        <w:rPr>
          <w:sz w:val="24"/>
          <w:szCs w:val="24"/>
        </w:rPr>
      </w:pPr>
    </w:p>
    <w:p w14:paraId="64EAF94F" w14:textId="77777777" w:rsidR="007F55C1" w:rsidRPr="00DD5529" w:rsidRDefault="007F55C1" w:rsidP="009F7A51">
      <w:pPr>
        <w:numPr>
          <w:ilvl w:val="0"/>
          <w:numId w:val="1"/>
        </w:numPr>
        <w:tabs>
          <w:tab w:val="clear" w:pos="1080"/>
        </w:tabs>
        <w:ind w:left="720" w:hanging="720"/>
        <w:jc w:val="both"/>
        <w:rPr>
          <w:sz w:val="24"/>
          <w:szCs w:val="24"/>
        </w:rPr>
      </w:pPr>
      <w:r w:rsidRPr="00DD5529">
        <w:rPr>
          <w:sz w:val="24"/>
          <w:szCs w:val="24"/>
          <w:u w:val="single"/>
        </w:rPr>
        <w:t>Additional Procedures</w:t>
      </w:r>
      <w:r w:rsidRPr="00DD5529">
        <w:rPr>
          <w:sz w:val="24"/>
          <w:szCs w:val="24"/>
        </w:rPr>
        <w:t>.  Each bid for which a labor and material bond is required shall be accompanied by a bid bond or certified check in the amount of five percent (5%) of such bid unless the School Board or Administration waives such requirement. The Board of Education or Administration may provide for additional procedures for the procurement, opening and acceptance of bids as deemed appropriate for a particular project.</w:t>
      </w:r>
      <w:r w:rsidRPr="00DD5529">
        <w:rPr>
          <w:sz w:val="24"/>
          <w:szCs w:val="24"/>
        </w:rPr>
        <w:tab/>
      </w:r>
    </w:p>
    <w:p w14:paraId="58CBBB61" w14:textId="77777777" w:rsidR="007F55C1" w:rsidRPr="00DD5529" w:rsidRDefault="007F55C1">
      <w:pPr>
        <w:jc w:val="both"/>
        <w:rPr>
          <w:sz w:val="24"/>
          <w:szCs w:val="24"/>
        </w:rPr>
      </w:pPr>
    </w:p>
    <w:p w14:paraId="7CBDD1FF" w14:textId="77777777" w:rsidR="007F55C1" w:rsidRPr="00DD5529" w:rsidRDefault="00FC312F" w:rsidP="00DD5529">
      <w:pPr>
        <w:rPr>
          <w:sz w:val="24"/>
          <w:szCs w:val="24"/>
        </w:rPr>
      </w:pPr>
      <w:r w:rsidRPr="00DD5529">
        <w:rPr>
          <w:sz w:val="24"/>
          <w:szCs w:val="24"/>
        </w:rPr>
        <w:t xml:space="preserve">Legal </w:t>
      </w:r>
      <w:r w:rsidR="003715F1" w:rsidRPr="00DD5529">
        <w:rPr>
          <w:sz w:val="24"/>
          <w:szCs w:val="24"/>
        </w:rPr>
        <w:t>Reference:</w:t>
      </w:r>
      <w:r w:rsidR="003715F1" w:rsidRPr="00DD5529">
        <w:rPr>
          <w:sz w:val="24"/>
          <w:szCs w:val="24"/>
        </w:rPr>
        <w:tab/>
      </w:r>
      <w:r w:rsidR="00C03BE2" w:rsidRPr="00DD5529">
        <w:rPr>
          <w:sz w:val="24"/>
          <w:szCs w:val="24"/>
        </w:rPr>
        <w:t>Neb. Rev. Stat.</w:t>
      </w:r>
      <w:r w:rsidR="00370C3B" w:rsidRPr="00DD5529">
        <w:rPr>
          <w:sz w:val="24"/>
          <w:szCs w:val="24"/>
        </w:rPr>
        <w:t xml:space="preserve"> </w:t>
      </w:r>
      <w:r w:rsidR="002A1387" w:rsidRPr="00DD5529">
        <w:rPr>
          <w:sz w:val="24"/>
          <w:szCs w:val="24"/>
        </w:rPr>
        <w:t>Sec.</w:t>
      </w:r>
      <w:r w:rsidR="00C03BE2" w:rsidRPr="00DD5529">
        <w:rPr>
          <w:sz w:val="24"/>
          <w:szCs w:val="24"/>
        </w:rPr>
        <w:t xml:space="preserve"> 52-118; </w:t>
      </w:r>
      <w:r w:rsidR="00F47BBE" w:rsidRPr="00DD5529">
        <w:rPr>
          <w:sz w:val="24"/>
          <w:szCs w:val="24"/>
        </w:rPr>
        <w:t xml:space="preserve">Neb. Rev. Stat. </w:t>
      </w:r>
      <w:r w:rsidR="002A1387" w:rsidRPr="00DD5529">
        <w:rPr>
          <w:sz w:val="24"/>
          <w:szCs w:val="24"/>
        </w:rPr>
        <w:t>Sec.</w:t>
      </w:r>
      <w:r w:rsidR="00370C3B" w:rsidRPr="00DD5529">
        <w:rPr>
          <w:sz w:val="24"/>
          <w:szCs w:val="24"/>
        </w:rPr>
        <w:t xml:space="preserve"> </w:t>
      </w:r>
      <w:r w:rsidR="00F47BBE" w:rsidRPr="00DD5529">
        <w:rPr>
          <w:sz w:val="24"/>
          <w:szCs w:val="24"/>
        </w:rPr>
        <w:t xml:space="preserve">73-101 </w:t>
      </w:r>
      <w:r w:rsidR="00F47BBE" w:rsidRPr="00DD5529">
        <w:rPr>
          <w:i/>
          <w:iCs/>
          <w:sz w:val="24"/>
          <w:szCs w:val="24"/>
        </w:rPr>
        <w:t xml:space="preserve">et seq.; </w:t>
      </w:r>
      <w:r w:rsidR="00F47BBE" w:rsidRPr="00DD5529">
        <w:rPr>
          <w:sz w:val="24"/>
          <w:szCs w:val="24"/>
        </w:rPr>
        <w:t xml:space="preserve">Neb. Rev. Stat. </w:t>
      </w:r>
      <w:r w:rsidR="002A1387" w:rsidRPr="00DD5529">
        <w:rPr>
          <w:sz w:val="24"/>
          <w:szCs w:val="24"/>
        </w:rPr>
        <w:t>Sec.</w:t>
      </w:r>
      <w:r w:rsidR="00370C3B" w:rsidRPr="00DD5529">
        <w:rPr>
          <w:sz w:val="24"/>
          <w:szCs w:val="24"/>
        </w:rPr>
        <w:t xml:space="preserve"> </w:t>
      </w:r>
      <w:r w:rsidR="00F47BBE" w:rsidRPr="00DD5529">
        <w:rPr>
          <w:sz w:val="24"/>
          <w:szCs w:val="24"/>
        </w:rPr>
        <w:t>73-106</w:t>
      </w:r>
      <w:r w:rsidR="005140BB" w:rsidRPr="00DD5529">
        <w:rPr>
          <w:sz w:val="24"/>
          <w:szCs w:val="24"/>
        </w:rPr>
        <w:t xml:space="preserve">; </w:t>
      </w:r>
      <w:r w:rsidR="00C03BE2" w:rsidRPr="00DD5529">
        <w:rPr>
          <w:sz w:val="24"/>
          <w:szCs w:val="24"/>
        </w:rPr>
        <w:t xml:space="preserve">Neb. Rev. Stat. </w:t>
      </w:r>
      <w:r w:rsidR="002A1387" w:rsidRPr="00DD5529">
        <w:rPr>
          <w:sz w:val="24"/>
          <w:szCs w:val="24"/>
        </w:rPr>
        <w:t>Sec.</w:t>
      </w:r>
      <w:r w:rsidR="00370C3B" w:rsidRPr="00DD5529">
        <w:rPr>
          <w:sz w:val="24"/>
          <w:szCs w:val="24"/>
        </w:rPr>
        <w:t xml:space="preserve"> </w:t>
      </w:r>
      <w:r w:rsidR="00C03BE2" w:rsidRPr="00DD5529">
        <w:rPr>
          <w:sz w:val="24"/>
          <w:szCs w:val="24"/>
        </w:rPr>
        <w:t>81-3445</w:t>
      </w:r>
    </w:p>
    <w:p w14:paraId="192E2D6F" w14:textId="77777777" w:rsidR="007F55C1" w:rsidRPr="00DD5529" w:rsidRDefault="007F55C1" w:rsidP="007F55C1">
      <w:pPr>
        <w:ind w:left="2160" w:hanging="1440"/>
        <w:rPr>
          <w:sz w:val="24"/>
          <w:szCs w:val="24"/>
        </w:rPr>
      </w:pPr>
    </w:p>
    <w:p w14:paraId="6EBB6423" w14:textId="77777777" w:rsidR="000B3D7F" w:rsidRDefault="000B3D7F" w:rsidP="000B3D7F">
      <w:pPr>
        <w:jc w:val="both"/>
      </w:pPr>
      <w:r>
        <w:t>Adopted: August 13, 2007</w:t>
      </w:r>
    </w:p>
    <w:p w14:paraId="25FD764C" w14:textId="77777777" w:rsidR="000B3D7F" w:rsidRDefault="000B3D7F" w:rsidP="000B3D7F">
      <w:pPr>
        <w:jc w:val="both"/>
      </w:pPr>
      <w:r>
        <w:t xml:space="preserve">Reviewed: Sept. 8, 2008, Sept. 14, 2009, Sept. 13, 2010, Sept. 12, 2011, May 13, 2013, </w:t>
      </w:r>
    </w:p>
    <w:p w14:paraId="07B00486" w14:textId="77777777" w:rsidR="000B3D7F" w:rsidRDefault="000B3D7F" w:rsidP="000B3D7F">
      <w:pPr>
        <w:jc w:val="both"/>
      </w:pPr>
      <w:r>
        <w:t>May 12, 2014</w:t>
      </w:r>
    </w:p>
    <w:p w14:paraId="06AA4407" w14:textId="77777777" w:rsidR="000B3D7F" w:rsidRDefault="000B3D7F" w:rsidP="000B3D7F">
      <w:pPr>
        <w:jc w:val="both"/>
      </w:pPr>
      <w:r>
        <w:t>Revised: July 14, 2014</w:t>
      </w:r>
    </w:p>
    <w:p w14:paraId="4D006EA0" w14:textId="77777777" w:rsidR="000B3D7F" w:rsidRDefault="000B3D7F" w:rsidP="000B3D7F">
      <w:pPr>
        <w:jc w:val="both"/>
      </w:pPr>
      <w:r>
        <w:t>Reviewed: May 11, 2015</w:t>
      </w:r>
    </w:p>
    <w:p w14:paraId="24A0BECD" w14:textId="77777777" w:rsidR="000B3D7F" w:rsidRDefault="000B3D7F" w:rsidP="000B3D7F">
      <w:pPr>
        <w:jc w:val="both"/>
      </w:pPr>
      <w:r>
        <w:t>Revised: Aug. 10, 2015</w:t>
      </w:r>
    </w:p>
    <w:p w14:paraId="45C48DAC" w14:textId="77777777" w:rsidR="000B3D7F" w:rsidRDefault="000B3D7F" w:rsidP="000B3D7F">
      <w:pPr>
        <w:jc w:val="both"/>
      </w:pPr>
      <w:r>
        <w:t>Reviewed: May 9, 2016, May 8, 2017, May 14, 2018, May 13, 2019, June 8, 2020, June 14, 2021, June 13, 2022</w:t>
      </w:r>
    </w:p>
    <w:p w14:paraId="3F253D8F" w14:textId="1AA2EE5D" w:rsidR="00A56948" w:rsidRDefault="000B3D7F" w:rsidP="00A56948">
      <w:pPr>
        <w:jc w:val="both"/>
      </w:pPr>
      <w:r w:rsidRPr="00DD5529">
        <w:t xml:space="preserve">Revised: </w:t>
      </w:r>
      <w:r w:rsidR="00C3568A">
        <w:t>Aug. 8</w:t>
      </w:r>
      <w:r w:rsidRPr="00DD5529">
        <w:t>, 2022</w:t>
      </w:r>
    </w:p>
    <w:p w14:paraId="61B8E90B" w14:textId="77777777" w:rsidR="00565208" w:rsidRPr="004C6759" w:rsidRDefault="009F2C83" w:rsidP="00565208">
      <w:pPr>
        <w:spacing w:line="0" w:lineRule="atLeast"/>
        <w:jc w:val="both"/>
      </w:pPr>
      <w:r>
        <w:t>Reviewed: June 12, 2023</w:t>
      </w:r>
      <w:r w:rsidR="00D047C0">
        <w:t>, June 10, 2024</w:t>
      </w:r>
      <w:r w:rsidR="00565208">
        <w:rPr>
          <w:szCs w:val="24"/>
        </w:rPr>
        <w:t>, June 9, 2025</w:t>
      </w:r>
    </w:p>
    <w:p w14:paraId="3ABE3826" w14:textId="0DD1328D" w:rsidR="009F2C83" w:rsidRPr="00DD5529" w:rsidRDefault="009F2C83" w:rsidP="00A56948">
      <w:pPr>
        <w:jc w:val="both"/>
        <w:rPr>
          <w:sz w:val="24"/>
          <w:szCs w:val="24"/>
        </w:rPr>
      </w:pPr>
    </w:p>
    <w:sectPr w:rsidR="009F2C83" w:rsidRPr="00DD5529" w:rsidSect="0031167D">
      <w:headerReference w:type="default" r:id="rId7"/>
      <w:footerReference w:type="default" r:id="rId8"/>
      <w:footnotePr>
        <w:numFmt w:val="lowerLetter"/>
      </w:footnotePr>
      <w:endnotePr>
        <w:numFmt w:val="lowerLetter"/>
      </w:endnotePr>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EB95A0" w14:textId="77777777" w:rsidR="00214E93" w:rsidRDefault="00214E93">
      <w:r>
        <w:separator/>
      </w:r>
    </w:p>
  </w:endnote>
  <w:endnote w:type="continuationSeparator" w:id="0">
    <w:p w14:paraId="4B477D99" w14:textId="77777777" w:rsidR="00214E93" w:rsidRDefault="00214E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Yu Gothic Light">
    <w:panose1 w:val="020B0300000000000000"/>
    <w:charset w:val="80"/>
    <w:family w:val="swiss"/>
    <w:notTrueType/>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notTrueType/>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2418F5" w14:textId="4779E418" w:rsidR="00BF6801" w:rsidRPr="00DD5529" w:rsidRDefault="00BF6801" w:rsidP="007F55C1">
    <w:pPr>
      <w:tabs>
        <w:tab w:val="left" w:pos="216"/>
        <w:tab w:val="left" w:pos="144"/>
        <w:tab w:val="left" w:pos="60"/>
        <w:tab w:val="left" w:pos="96"/>
        <w:tab w:val="left" w:pos="144"/>
        <w:tab w:val="left" w:pos="90"/>
        <w:tab w:val="left" w:pos="10800"/>
        <w:tab w:val="left" w:pos="10800"/>
        <w:tab w:val="left" w:pos="1440"/>
        <w:tab w:val="left" w:pos="1440"/>
        <w:tab w:val="left" w:pos="1440"/>
        <w:tab w:val="left" w:pos="10800"/>
        <w:tab w:val="left" w:pos="1440"/>
        <w:tab w:val="left" w:pos="10800"/>
        <w:tab w:val="left" w:pos="1440"/>
        <w:tab w:val="left" w:pos="10800"/>
        <w:tab w:val="left" w:pos="1440"/>
        <w:tab w:val="left" w:pos="10800"/>
        <w:tab w:val="left" w:pos="1440"/>
        <w:tab w:val="left" w:pos="10800"/>
        <w:tab w:val="left" w:pos="1440"/>
        <w:tab w:val="left" w:pos="10800"/>
        <w:tab w:val="left" w:pos="0"/>
        <w:tab w:val="left" w:pos="9240"/>
        <w:tab w:val="left" w:pos="720"/>
        <w:tab w:val="left" w:pos="0"/>
        <w:tab w:val="center" w:leader="dot" w:pos="720"/>
        <w:tab w:val="center" w:leader="dot" w:pos="0"/>
        <w:tab w:val="center" w:leader="dot" w:pos="1440"/>
        <w:tab w:val="decimal" w:pos="144"/>
        <w:tab w:val="left" w:pos="0"/>
        <w:tab w:val="left" w:pos="0"/>
        <w:tab w:val="left" w:pos="0"/>
      </w:tabs>
      <w:jc w:val="center"/>
      <w:rPr>
        <w:vanish/>
        <w:sz w:val="24"/>
        <w:szCs w:val="24"/>
      </w:rPr>
    </w:pPr>
    <w:r w:rsidRPr="00DD5529">
      <w:rPr>
        <w:sz w:val="24"/>
        <w:szCs w:val="24"/>
      </w:rPr>
      <w:t xml:space="preserve">Page </w:t>
    </w:r>
    <w:r w:rsidRPr="00DD5529">
      <w:rPr>
        <w:sz w:val="24"/>
        <w:szCs w:val="24"/>
      </w:rPr>
      <w:pgNum/>
    </w:r>
    <w:r w:rsidRPr="00DD5529">
      <w:rPr>
        <w:sz w:val="24"/>
        <w:szCs w:val="24"/>
      </w:rPr>
      <w:t xml:space="preserve"> of  </w:t>
    </w:r>
    <w:r w:rsidR="005C6935" w:rsidRPr="00DD5529">
      <w:rPr>
        <w:sz w:val="24"/>
        <w:szCs w:val="24"/>
      </w:rPr>
      <w:fldChar w:fldCharType="begin"/>
    </w:r>
    <w:r w:rsidR="005C6935" w:rsidRPr="00DD5529">
      <w:rPr>
        <w:sz w:val="24"/>
        <w:szCs w:val="24"/>
      </w:rPr>
      <w:instrText xml:space="preserve"> NUMPAGES \* arabic \* MERGEFORMAT </w:instrText>
    </w:r>
    <w:r w:rsidR="005C6935" w:rsidRPr="00DD5529">
      <w:rPr>
        <w:sz w:val="24"/>
        <w:szCs w:val="24"/>
      </w:rPr>
      <w:fldChar w:fldCharType="separate"/>
    </w:r>
    <w:r w:rsidR="00DD5529">
      <w:rPr>
        <w:noProof/>
        <w:sz w:val="24"/>
        <w:szCs w:val="24"/>
      </w:rPr>
      <w:t>2</w:t>
    </w:r>
    <w:r w:rsidR="005C6935" w:rsidRPr="00DD5529">
      <w:rPr>
        <w:noProof/>
        <w:sz w:val="24"/>
        <w:szCs w:val="24"/>
      </w:rPr>
      <w:fldChar w:fldCharType="end"/>
    </w:r>
  </w:p>
  <w:p w14:paraId="7DDE48C4" w14:textId="77777777" w:rsidR="00BF6801" w:rsidRPr="00DD5529" w:rsidRDefault="00BF6801">
    <w:pPr>
      <w:pStyle w:val="Footer"/>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F727CC" w14:textId="77777777" w:rsidR="00214E93" w:rsidRDefault="00214E93">
      <w:r>
        <w:separator/>
      </w:r>
    </w:p>
  </w:footnote>
  <w:footnote w:type="continuationSeparator" w:id="0">
    <w:p w14:paraId="365697A3" w14:textId="77777777" w:rsidR="00214E93" w:rsidRDefault="00214E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0B880A" w14:textId="5AE5C542" w:rsidR="00BF6801" w:rsidRPr="00DD5529" w:rsidRDefault="00BF6801" w:rsidP="00DA026A">
    <w:pPr>
      <w:tabs>
        <w:tab w:val="center" w:pos="4680"/>
        <w:tab w:val="right" w:pos="9360"/>
      </w:tabs>
      <w:ind w:left="5760" w:hanging="5760"/>
      <w:rPr>
        <w:sz w:val="24"/>
        <w:szCs w:val="24"/>
      </w:rPr>
    </w:pPr>
    <w:r w:rsidRPr="00DD5529">
      <w:rPr>
        <w:sz w:val="24"/>
        <w:szCs w:val="24"/>
      </w:rPr>
      <w:t>Article 3</w:t>
    </w:r>
    <w:r w:rsidRPr="00DD5529">
      <w:rPr>
        <w:sz w:val="24"/>
        <w:szCs w:val="24"/>
      </w:rPr>
      <w:tab/>
    </w:r>
    <w:r w:rsidR="00174376" w:rsidRPr="00DD5529">
      <w:rPr>
        <w:sz w:val="24"/>
        <w:szCs w:val="24"/>
      </w:rPr>
      <w:tab/>
    </w:r>
    <w:r w:rsidR="00174376" w:rsidRPr="00DD5529">
      <w:rPr>
        <w:sz w:val="24"/>
        <w:szCs w:val="24"/>
      </w:rPr>
      <w:tab/>
    </w:r>
    <w:r w:rsidR="00174376" w:rsidRPr="00DD5529">
      <w:rPr>
        <w:sz w:val="24"/>
        <w:szCs w:val="24"/>
      </w:rPr>
      <w:tab/>
    </w:r>
    <w:r w:rsidRPr="00DD5529">
      <w:rPr>
        <w:b/>
        <w:bCs/>
        <w:sz w:val="24"/>
        <w:szCs w:val="24"/>
      </w:rPr>
      <w:t>BUSINESS OPERATIONS</w:t>
    </w:r>
    <w:r w:rsidR="00174376" w:rsidRPr="00DD5529">
      <w:rPr>
        <w:b/>
        <w:bCs/>
        <w:sz w:val="24"/>
        <w:szCs w:val="24"/>
      </w:rPr>
      <w:tab/>
    </w:r>
    <w:r w:rsidR="00174376" w:rsidRPr="00DD5529">
      <w:rPr>
        <w:b/>
        <w:bCs/>
        <w:sz w:val="24"/>
        <w:szCs w:val="24"/>
      </w:rPr>
      <w:tab/>
    </w:r>
    <w:r w:rsidR="005C6935">
      <w:rPr>
        <w:b/>
        <w:bCs/>
        <w:sz w:val="24"/>
        <w:szCs w:val="24"/>
      </w:rPr>
      <w:t xml:space="preserve">         </w:t>
    </w:r>
    <w:r w:rsidRPr="00DD5529">
      <w:rPr>
        <w:sz w:val="24"/>
        <w:szCs w:val="24"/>
      </w:rPr>
      <w:t>Policy No. 3540</w:t>
    </w:r>
  </w:p>
  <w:p w14:paraId="2A6ED854" w14:textId="77777777" w:rsidR="00BF6801" w:rsidRDefault="00BF6801" w:rsidP="00DA026A">
    <w:pPr>
      <w:spacing w:line="240" w:lineRule="exact"/>
    </w:pPr>
  </w:p>
  <w:p w14:paraId="796DC92E" w14:textId="77777777" w:rsidR="00BF6801" w:rsidRDefault="00BF68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B688E"/>
    <w:multiLevelType w:val="hybridMultilevel"/>
    <w:tmpl w:val="F530D880"/>
    <w:lvl w:ilvl="0" w:tplc="11E4D5D6">
      <w:start w:val="5"/>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10799052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7508"/>
    <w:rsid w:val="00030E44"/>
    <w:rsid w:val="0004522B"/>
    <w:rsid w:val="00045E41"/>
    <w:rsid w:val="00047BA6"/>
    <w:rsid w:val="00062620"/>
    <w:rsid w:val="00086D2A"/>
    <w:rsid w:val="000A08D8"/>
    <w:rsid w:val="000A15E7"/>
    <w:rsid w:val="000A2286"/>
    <w:rsid w:val="000A425B"/>
    <w:rsid w:val="000B3BFA"/>
    <w:rsid w:val="000B3D7F"/>
    <w:rsid w:val="000E1B3B"/>
    <w:rsid w:val="001245D3"/>
    <w:rsid w:val="0013195F"/>
    <w:rsid w:val="00174376"/>
    <w:rsid w:val="001A60D9"/>
    <w:rsid w:val="001F5734"/>
    <w:rsid w:val="00214E93"/>
    <w:rsid w:val="002221D3"/>
    <w:rsid w:val="00277D0E"/>
    <w:rsid w:val="00291A79"/>
    <w:rsid w:val="00292607"/>
    <w:rsid w:val="00293345"/>
    <w:rsid w:val="002A1387"/>
    <w:rsid w:val="002B20FB"/>
    <w:rsid w:val="002B26EC"/>
    <w:rsid w:val="002C0939"/>
    <w:rsid w:val="00310D4B"/>
    <w:rsid w:val="0031167D"/>
    <w:rsid w:val="0031793C"/>
    <w:rsid w:val="003402DA"/>
    <w:rsid w:val="00370C3B"/>
    <w:rsid w:val="003715F1"/>
    <w:rsid w:val="00386A1D"/>
    <w:rsid w:val="003923B3"/>
    <w:rsid w:val="003B24D0"/>
    <w:rsid w:val="003B766E"/>
    <w:rsid w:val="003E465E"/>
    <w:rsid w:val="00440962"/>
    <w:rsid w:val="00446FE9"/>
    <w:rsid w:val="0045562C"/>
    <w:rsid w:val="004B28AB"/>
    <w:rsid w:val="004C5FCA"/>
    <w:rsid w:val="005140BB"/>
    <w:rsid w:val="00565208"/>
    <w:rsid w:val="00596EED"/>
    <w:rsid w:val="005A34C8"/>
    <w:rsid w:val="005B6D8E"/>
    <w:rsid w:val="005C1606"/>
    <w:rsid w:val="005C6935"/>
    <w:rsid w:val="005F7C87"/>
    <w:rsid w:val="00604A93"/>
    <w:rsid w:val="006566A0"/>
    <w:rsid w:val="006826FE"/>
    <w:rsid w:val="00686766"/>
    <w:rsid w:val="006E7508"/>
    <w:rsid w:val="006F1861"/>
    <w:rsid w:val="0070022D"/>
    <w:rsid w:val="007332BD"/>
    <w:rsid w:val="00737E18"/>
    <w:rsid w:val="007401D9"/>
    <w:rsid w:val="0075663A"/>
    <w:rsid w:val="00773FE8"/>
    <w:rsid w:val="00787206"/>
    <w:rsid w:val="0079073C"/>
    <w:rsid w:val="007E78C7"/>
    <w:rsid w:val="007F27F9"/>
    <w:rsid w:val="007F55C1"/>
    <w:rsid w:val="007F6A37"/>
    <w:rsid w:val="00885ABA"/>
    <w:rsid w:val="00907647"/>
    <w:rsid w:val="009114DA"/>
    <w:rsid w:val="00915137"/>
    <w:rsid w:val="0094279A"/>
    <w:rsid w:val="009838EC"/>
    <w:rsid w:val="0098632D"/>
    <w:rsid w:val="009C7375"/>
    <w:rsid w:val="009F2C83"/>
    <w:rsid w:val="009F7A51"/>
    <w:rsid w:val="00A10A88"/>
    <w:rsid w:val="00A26CFE"/>
    <w:rsid w:val="00A53EAC"/>
    <w:rsid w:val="00A56948"/>
    <w:rsid w:val="00A6169D"/>
    <w:rsid w:val="00A75A96"/>
    <w:rsid w:val="00AA0BD0"/>
    <w:rsid w:val="00AF0C64"/>
    <w:rsid w:val="00B00054"/>
    <w:rsid w:val="00B01849"/>
    <w:rsid w:val="00B077E5"/>
    <w:rsid w:val="00B66461"/>
    <w:rsid w:val="00B960EE"/>
    <w:rsid w:val="00BA4A52"/>
    <w:rsid w:val="00BC6EB8"/>
    <w:rsid w:val="00BD1D48"/>
    <w:rsid w:val="00BD7231"/>
    <w:rsid w:val="00BF6801"/>
    <w:rsid w:val="00C03BE2"/>
    <w:rsid w:val="00C34BF9"/>
    <w:rsid w:val="00C3568A"/>
    <w:rsid w:val="00C3574E"/>
    <w:rsid w:val="00C668BC"/>
    <w:rsid w:val="00C7362A"/>
    <w:rsid w:val="00C82B19"/>
    <w:rsid w:val="00C96688"/>
    <w:rsid w:val="00CB17EB"/>
    <w:rsid w:val="00CD6819"/>
    <w:rsid w:val="00CF2D24"/>
    <w:rsid w:val="00D047C0"/>
    <w:rsid w:val="00D31DD4"/>
    <w:rsid w:val="00D70574"/>
    <w:rsid w:val="00D80A95"/>
    <w:rsid w:val="00D9619B"/>
    <w:rsid w:val="00DA026A"/>
    <w:rsid w:val="00DB0252"/>
    <w:rsid w:val="00DC3597"/>
    <w:rsid w:val="00DD5529"/>
    <w:rsid w:val="00E2272B"/>
    <w:rsid w:val="00E85B5D"/>
    <w:rsid w:val="00ED3908"/>
    <w:rsid w:val="00EE4D0D"/>
    <w:rsid w:val="00EF5E40"/>
    <w:rsid w:val="00F03481"/>
    <w:rsid w:val="00F16625"/>
    <w:rsid w:val="00F231DB"/>
    <w:rsid w:val="00F47BBE"/>
    <w:rsid w:val="00F51643"/>
    <w:rsid w:val="00F609FF"/>
    <w:rsid w:val="00F61B83"/>
    <w:rsid w:val="00FC312F"/>
    <w:rsid w:val="00FD69A1"/>
    <w:rsid w:val="00FE0F7A"/>
    <w:rsid w:val="00FF1E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0C24191"/>
  <w15:docId w15:val="{F7336DA5-1927-8248-B799-86826CED2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C312F"/>
    <w:rPr>
      <w:b/>
      <w:bCs/>
      <w:szCs w:val="24"/>
    </w:rPr>
  </w:style>
  <w:style w:type="paragraph" w:customStyle="1" w:styleId="17">
    <w:name w:val="_17"/>
    <w:basedOn w:val="Normal"/>
  </w:style>
  <w:style w:type="paragraph" w:customStyle="1" w:styleId="16">
    <w:name w:val="_16"/>
    <w:basedOn w:val="Normal"/>
    <w:pPr>
      <w:ind w:left="1440" w:hanging="720"/>
    </w:pPr>
  </w:style>
  <w:style w:type="paragraph" w:customStyle="1" w:styleId="15">
    <w:name w:val="_15"/>
    <w:basedOn w:val="Normal"/>
    <w:pPr>
      <w:ind w:left="2160"/>
    </w:pPr>
  </w:style>
  <w:style w:type="paragraph" w:customStyle="1" w:styleId="14">
    <w:name w:val="_14"/>
    <w:basedOn w:val="Normal"/>
    <w:pPr>
      <w:ind w:left="2880"/>
    </w:pPr>
  </w:style>
  <w:style w:type="paragraph" w:customStyle="1" w:styleId="13">
    <w:name w:val="_13"/>
    <w:basedOn w:val="Normal"/>
    <w:pPr>
      <w:ind w:left="3600"/>
    </w:pPr>
  </w:style>
  <w:style w:type="paragraph" w:customStyle="1" w:styleId="12">
    <w:name w:val="_12"/>
    <w:basedOn w:val="Normal"/>
    <w:pPr>
      <w:ind w:left="4320"/>
    </w:pPr>
  </w:style>
  <w:style w:type="paragraph" w:customStyle="1" w:styleId="11">
    <w:name w:val="_11"/>
    <w:basedOn w:val="Normal"/>
    <w:pPr>
      <w:ind w:left="5040"/>
    </w:pPr>
  </w:style>
  <w:style w:type="paragraph" w:customStyle="1" w:styleId="10">
    <w:name w:val="_10"/>
    <w:basedOn w:val="Normal"/>
    <w:pPr>
      <w:ind w:left="5760"/>
    </w:pPr>
  </w:style>
  <w:style w:type="paragraph" w:customStyle="1" w:styleId="Level9">
    <w:name w:val="Level 9"/>
    <w:basedOn w:val="Normal"/>
    <w:rPr>
      <w:b/>
    </w:rPr>
  </w:style>
  <w:style w:type="paragraph" w:customStyle="1" w:styleId="26">
    <w:name w:val="_26"/>
    <w:basedOn w:val="Normal"/>
  </w:style>
  <w:style w:type="paragraph" w:customStyle="1" w:styleId="25">
    <w:name w:val="_25"/>
    <w:basedOn w:val="Normal"/>
    <w:pPr>
      <w:ind w:left="1440" w:hanging="720"/>
    </w:pPr>
  </w:style>
  <w:style w:type="paragraph" w:customStyle="1" w:styleId="24">
    <w:name w:val="_24"/>
    <w:basedOn w:val="Normal"/>
    <w:pPr>
      <w:ind w:left="2160"/>
    </w:pPr>
  </w:style>
  <w:style w:type="paragraph" w:customStyle="1" w:styleId="23">
    <w:name w:val="_23"/>
    <w:basedOn w:val="Normal"/>
    <w:pPr>
      <w:ind w:left="2880"/>
    </w:pPr>
  </w:style>
  <w:style w:type="paragraph" w:customStyle="1" w:styleId="22">
    <w:name w:val="_22"/>
    <w:basedOn w:val="Normal"/>
    <w:pPr>
      <w:ind w:left="3600"/>
    </w:pPr>
  </w:style>
  <w:style w:type="paragraph" w:customStyle="1" w:styleId="21">
    <w:name w:val="_21"/>
    <w:basedOn w:val="Normal"/>
    <w:pPr>
      <w:ind w:left="4320"/>
    </w:pPr>
  </w:style>
  <w:style w:type="paragraph" w:customStyle="1" w:styleId="20">
    <w:name w:val="_20"/>
    <w:basedOn w:val="Normal"/>
    <w:pPr>
      <w:ind w:left="5040"/>
    </w:pPr>
  </w:style>
  <w:style w:type="paragraph" w:customStyle="1" w:styleId="19">
    <w:name w:val="_19"/>
    <w:basedOn w:val="Normal"/>
    <w:pPr>
      <w:ind w:left="5760"/>
    </w:pPr>
  </w:style>
  <w:style w:type="paragraph" w:customStyle="1" w:styleId="18">
    <w:name w:val="_18"/>
    <w:basedOn w:val="Normal"/>
    <w:pPr>
      <w:ind w:left="6480"/>
    </w:pPr>
  </w:style>
  <w:style w:type="paragraph" w:customStyle="1" w:styleId="9">
    <w:name w:val="_9"/>
    <w:basedOn w:val="Normal"/>
    <w:pPr>
      <w:ind w:left="6480"/>
    </w:pPr>
  </w:style>
  <w:style w:type="paragraph" w:customStyle="1" w:styleId="8">
    <w:name w:val="_8"/>
    <w:basedOn w:val="Normal"/>
  </w:style>
  <w:style w:type="paragraph" w:customStyle="1" w:styleId="7">
    <w:name w:val="_7"/>
    <w:basedOn w:val="Normal"/>
    <w:pPr>
      <w:ind w:left="1440" w:hanging="720"/>
    </w:pPr>
  </w:style>
  <w:style w:type="paragraph" w:customStyle="1" w:styleId="6">
    <w:name w:val="_6"/>
    <w:basedOn w:val="Normal"/>
    <w:pPr>
      <w:ind w:left="2160"/>
    </w:pPr>
  </w:style>
  <w:style w:type="paragraph" w:customStyle="1" w:styleId="5">
    <w:name w:val="_5"/>
    <w:basedOn w:val="Normal"/>
    <w:pPr>
      <w:ind w:left="2880"/>
    </w:pPr>
  </w:style>
  <w:style w:type="paragraph" w:customStyle="1" w:styleId="4">
    <w:name w:val="_4"/>
    <w:basedOn w:val="Normal"/>
    <w:pPr>
      <w:ind w:left="3600"/>
    </w:pPr>
  </w:style>
  <w:style w:type="paragraph" w:customStyle="1" w:styleId="3">
    <w:name w:val="_3"/>
    <w:basedOn w:val="Normal"/>
    <w:pPr>
      <w:ind w:left="4320"/>
    </w:pPr>
  </w:style>
  <w:style w:type="paragraph" w:customStyle="1" w:styleId="2">
    <w:name w:val="_2"/>
    <w:basedOn w:val="Normal"/>
    <w:pPr>
      <w:ind w:left="5040"/>
    </w:pPr>
  </w:style>
  <w:style w:type="paragraph" w:customStyle="1" w:styleId="1">
    <w:name w:val="_1"/>
    <w:basedOn w:val="Normal"/>
    <w:pPr>
      <w:ind w:left="5760"/>
    </w:pPr>
  </w:style>
  <w:style w:type="paragraph" w:customStyle="1" w:styleId="a">
    <w:name w:val="_"/>
    <w:basedOn w:val="Normal"/>
    <w:pPr>
      <w:ind w:left="6480"/>
    </w:pPr>
  </w:style>
  <w:style w:type="paragraph" w:customStyle="1" w:styleId="DefinitionT">
    <w:name w:val="Definition T"/>
    <w:basedOn w:val="Normal"/>
  </w:style>
  <w:style w:type="paragraph" w:customStyle="1" w:styleId="DefinitionL">
    <w:name w:val="Definition L"/>
    <w:basedOn w:val="Normal"/>
    <w:pPr>
      <w:tabs>
        <w:tab w:val="left" w:pos="360"/>
      </w:tabs>
      <w:ind w:left="360"/>
    </w:pPr>
  </w:style>
  <w:style w:type="character" w:customStyle="1" w:styleId="Definition">
    <w:name w:val="Definition"/>
    <w:rPr>
      <w:i/>
    </w:rPr>
  </w:style>
  <w:style w:type="paragraph" w:customStyle="1" w:styleId="H1">
    <w:name w:val="H1"/>
    <w:basedOn w:val="Normal"/>
    <w:rPr>
      <w:b/>
      <w:sz w:val="48"/>
    </w:rPr>
  </w:style>
  <w:style w:type="paragraph" w:customStyle="1" w:styleId="H2">
    <w:name w:val="H2"/>
    <w:basedOn w:val="Normal"/>
    <w:rPr>
      <w:b/>
      <w:sz w:val="36"/>
    </w:rPr>
  </w:style>
  <w:style w:type="paragraph" w:customStyle="1" w:styleId="H3">
    <w:name w:val="H3"/>
    <w:basedOn w:val="Normal"/>
    <w:rPr>
      <w:b/>
      <w:sz w:val="28"/>
    </w:rPr>
  </w:style>
  <w:style w:type="paragraph" w:customStyle="1" w:styleId="H4">
    <w:name w:val="H4"/>
    <w:basedOn w:val="Normal"/>
    <w:rPr>
      <w:b/>
    </w:rPr>
  </w:style>
  <w:style w:type="paragraph" w:customStyle="1" w:styleId="H5">
    <w:name w:val="H5"/>
    <w:basedOn w:val="Normal"/>
    <w:rPr>
      <w:b/>
    </w:rPr>
  </w:style>
  <w:style w:type="paragraph" w:customStyle="1" w:styleId="H6">
    <w:name w:val="H6"/>
    <w:basedOn w:val="Normal"/>
    <w:rPr>
      <w:b/>
      <w:sz w:val="16"/>
    </w:rPr>
  </w:style>
  <w:style w:type="paragraph" w:customStyle="1" w:styleId="Address">
    <w:name w:val="Address"/>
    <w:basedOn w:val="Normal"/>
    <w:rPr>
      <w:i/>
    </w:rPr>
  </w:style>
  <w:style w:type="paragraph" w:customStyle="1" w:styleId="Blockquote">
    <w:name w:val="Blockquote"/>
    <w:basedOn w:val="Normal"/>
    <w:pPr>
      <w:tabs>
        <w:tab w:val="left" w:pos="360"/>
      </w:tabs>
      <w:ind w:left="360" w:right="360"/>
    </w:pPr>
  </w:style>
  <w:style w:type="character" w:customStyle="1" w:styleId="CITE">
    <w:name w:val="CITE"/>
    <w:rPr>
      <w:i/>
    </w:rPr>
  </w:style>
  <w:style w:type="character" w:customStyle="1" w:styleId="CODE">
    <w:name w:val="CODE"/>
    <w:rPr>
      <w:rFonts w:ascii="Courier New" w:hAnsi="Courier New"/>
      <w:sz w:val="20"/>
    </w:rPr>
  </w:style>
  <w:style w:type="character" w:customStyle="1" w:styleId="WP9Emphasis">
    <w:name w:val="WP9_Emphasis"/>
    <w:rPr>
      <w:i/>
    </w:rPr>
  </w:style>
  <w:style w:type="character" w:customStyle="1" w:styleId="WP9Hyperlink">
    <w:name w:val="WP9_Hyperlink"/>
    <w:rPr>
      <w:color w:val="0000FF"/>
      <w:u w:val="single"/>
    </w:rPr>
  </w:style>
  <w:style w:type="character" w:customStyle="1" w:styleId="FollowedHype">
    <w:name w:val="FollowedHype"/>
    <w:rPr>
      <w:color w:val="800080"/>
      <w:u w:val="single"/>
    </w:rPr>
  </w:style>
  <w:style w:type="character" w:customStyle="1" w:styleId="Keyboard">
    <w:name w:val="Keyboard"/>
    <w:rPr>
      <w:rFonts w:ascii="Courier New" w:hAnsi="Courier New"/>
      <w:b/>
      <w:sz w:val="20"/>
    </w:rPr>
  </w:style>
  <w:style w:type="paragraph" w:customStyle="1" w:styleId="Preformatted">
    <w:name w:val="Preformatted"/>
    <w:basedOn w:val="Normal"/>
    <w:pPr>
      <w:tabs>
        <w:tab w:val="clear" w:pos="2880"/>
        <w:tab w:val="clear" w:pos="5760"/>
        <w:tab w:val="clear" w:pos="8640"/>
        <w:tab w:val="left" w:pos="959"/>
        <w:tab w:val="left" w:pos="1918"/>
        <w:tab w:val="left" w:pos="2876"/>
        <w:tab w:val="left" w:pos="3835"/>
        <w:tab w:val="left" w:pos="4794"/>
        <w:tab w:val="left" w:pos="5754"/>
        <w:tab w:val="left" w:pos="6713"/>
        <w:tab w:val="left" w:pos="7672"/>
        <w:tab w:val="left" w:pos="8630"/>
        <w:tab w:val="left" w:pos="9356"/>
      </w:tabs>
    </w:pPr>
    <w:rPr>
      <w:rFonts w:ascii="Courier New" w:hAnsi="Courier New"/>
    </w:rPr>
  </w:style>
  <w:style w:type="paragraph" w:customStyle="1" w:styleId="zBottomof">
    <w:name w:val="zBottom of"/>
    <w:basedOn w:val="Normal"/>
    <w:pPr>
      <w:pBdr>
        <w:top w:val="double" w:sz="1" w:space="0" w:color="000000"/>
      </w:pBdr>
      <w:jc w:val="center"/>
    </w:pPr>
    <w:rPr>
      <w:rFonts w:ascii="Arial" w:hAnsi="Arial"/>
      <w:sz w:val="16"/>
    </w:rPr>
  </w:style>
  <w:style w:type="paragraph" w:customStyle="1" w:styleId="zTopofFor">
    <w:name w:val="zTop of For"/>
    <w:basedOn w:val="Normal"/>
    <w:pPr>
      <w:pBdr>
        <w:bottom w:val="double" w:sz="1" w:space="0" w:color="000000"/>
      </w:pBdr>
      <w:jc w:val="center"/>
    </w:pPr>
    <w:rPr>
      <w:rFonts w:ascii="Arial" w:hAnsi="Arial"/>
      <w:sz w:val="16"/>
    </w:rPr>
  </w:style>
  <w:style w:type="character" w:customStyle="1" w:styleId="Sample">
    <w:name w:val="Sample"/>
    <w:rPr>
      <w:rFonts w:ascii="Courier New" w:hAnsi="Courier New"/>
    </w:rPr>
  </w:style>
  <w:style w:type="character" w:customStyle="1" w:styleId="WP9Strong">
    <w:name w:val="WP9_Strong"/>
    <w:rPr>
      <w:b/>
    </w:rPr>
  </w:style>
  <w:style w:type="character" w:customStyle="1" w:styleId="Typewriter">
    <w:name w:val="Typewriter"/>
    <w:rPr>
      <w:rFonts w:ascii="Courier New" w:hAnsi="Courier New"/>
      <w:sz w:val="20"/>
    </w:rPr>
  </w:style>
  <w:style w:type="character" w:customStyle="1" w:styleId="Variable">
    <w:name w:val="Variable"/>
    <w:rPr>
      <w:i/>
    </w:rPr>
  </w:style>
  <w:style w:type="character" w:customStyle="1" w:styleId="HTMLMarkup">
    <w:name w:val="HTML Markup"/>
    <w:rPr>
      <w:vanish/>
      <w:color w:val="FF0000"/>
    </w:rPr>
  </w:style>
  <w:style w:type="character" w:customStyle="1" w:styleId="Comment">
    <w:name w:val="Comment"/>
    <w:rPr>
      <w:vanish/>
    </w:rPr>
  </w:style>
  <w:style w:type="paragraph" w:styleId="Header">
    <w:name w:val="header"/>
    <w:basedOn w:val="Normal"/>
    <w:rsid w:val="00DA026A"/>
    <w:pPr>
      <w:tabs>
        <w:tab w:val="center" w:pos="4320"/>
        <w:tab w:val="right" w:pos="8640"/>
      </w:tabs>
    </w:pPr>
  </w:style>
  <w:style w:type="paragraph" w:styleId="Footer">
    <w:name w:val="footer"/>
    <w:basedOn w:val="Normal"/>
    <w:rsid w:val="00DA026A"/>
    <w:pPr>
      <w:tabs>
        <w:tab w:val="center" w:pos="4320"/>
        <w:tab w:val="right" w:pos="8640"/>
      </w:tabs>
    </w:pPr>
  </w:style>
  <w:style w:type="paragraph" w:styleId="Revision">
    <w:name w:val="Revision"/>
    <w:hidden/>
    <w:uiPriority w:val="99"/>
    <w:semiHidden/>
    <w:rsid w:val="000B3D7F"/>
  </w:style>
  <w:style w:type="paragraph" w:styleId="BalloonText">
    <w:name w:val="Balloon Text"/>
    <w:basedOn w:val="Normal"/>
    <w:link w:val="BalloonTextChar"/>
    <w:rsid w:val="0070022D"/>
    <w:rPr>
      <w:rFonts w:ascii="Lucida Grande" w:hAnsi="Lucida Grande"/>
      <w:sz w:val="18"/>
      <w:szCs w:val="18"/>
    </w:rPr>
  </w:style>
  <w:style w:type="character" w:customStyle="1" w:styleId="BalloonTextChar">
    <w:name w:val="Balloon Text Char"/>
    <w:basedOn w:val="DefaultParagraphFont"/>
    <w:link w:val="BalloonText"/>
    <w:rsid w:val="0070022D"/>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5099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709</Words>
  <Characters>4043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lpstr>
    </vt:vector>
  </TitlesOfParts>
  <Company>Perry Law Firm</Company>
  <LinksUpToDate>false</LinksUpToDate>
  <CharactersWithSpaces>4743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Greg Perry</dc:creator>
  <cp:keywords/>
  <cp:lastModifiedBy>Morlan, Emily (eemorlan)</cp:lastModifiedBy>
  <cp:revision>3</cp:revision>
  <cp:lastPrinted>2015-05-06T20:13:00Z</cp:lastPrinted>
  <dcterms:created xsi:type="dcterms:W3CDTF">2024-06-12T21:02:00Z</dcterms:created>
  <dcterms:modified xsi:type="dcterms:W3CDTF">2025-05-16T20:09:00Z</dcterms:modified>
</cp:coreProperties>
</file>