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67484" w:rsidRDefault="00000000">
      <w:pPr>
        <w:shd w:val="clear" w:color="auto" w:fill="FFFFFF"/>
        <w:ind w:left="720"/>
        <w:rPr>
          <w:b/>
          <w:color w:val="222222"/>
        </w:rPr>
      </w:pPr>
      <w:r>
        <w:rPr>
          <w:b/>
          <w:color w:val="222222"/>
        </w:rPr>
        <w:t>Changes to Funding Rules</w:t>
      </w:r>
    </w:p>
    <w:p w14:paraId="00000002" w14:textId="77777777" w:rsidR="00C67484" w:rsidRDefault="00C67484">
      <w:pPr>
        <w:shd w:val="clear" w:color="auto" w:fill="FFFFFF"/>
        <w:ind w:left="720"/>
        <w:rPr>
          <w:color w:val="222222"/>
        </w:rPr>
      </w:pPr>
    </w:p>
    <w:p w14:paraId="00000003" w14:textId="77777777" w:rsidR="00C67484" w:rsidRDefault="00000000">
      <w:pPr>
        <w:numPr>
          <w:ilvl w:val="0"/>
          <w:numId w:val="2"/>
        </w:numPr>
        <w:shd w:val="clear" w:color="auto" w:fill="FFFFFF"/>
        <w:rPr>
          <w:sz w:val="24"/>
          <w:szCs w:val="24"/>
        </w:rPr>
      </w:pPr>
      <w:r>
        <w:rPr>
          <w:color w:val="222222"/>
        </w:rPr>
        <w:t xml:space="preserve">CDE will continue to fund the traditional “seat time” – now through what is called </w:t>
      </w:r>
      <w:r>
        <w:rPr>
          <w:b/>
          <w:color w:val="222222"/>
        </w:rPr>
        <w:t>direct teacher-pupil instruction</w:t>
      </w:r>
      <w:r>
        <w:rPr>
          <w:color w:val="222222"/>
        </w:rPr>
        <w:t xml:space="preserve">. (1.08) </w:t>
      </w:r>
    </w:p>
    <w:p w14:paraId="00000004" w14:textId="77777777" w:rsidR="00C67484" w:rsidRDefault="00000000">
      <w:pPr>
        <w:numPr>
          <w:ilvl w:val="1"/>
          <w:numId w:val="2"/>
        </w:numPr>
        <w:rPr>
          <w:sz w:val="24"/>
          <w:szCs w:val="24"/>
        </w:rPr>
      </w:pPr>
      <w:r>
        <w:rPr>
          <w:color w:val="222222"/>
        </w:rPr>
        <w:t xml:space="preserve">Additionally, </w:t>
      </w:r>
      <w:r>
        <w:rPr>
          <w:b/>
          <w:color w:val="222222"/>
        </w:rPr>
        <w:t xml:space="preserve">direct teacher-pupil instruction </w:t>
      </w:r>
      <w:r>
        <w:rPr>
          <w:color w:val="222222"/>
        </w:rPr>
        <w:t xml:space="preserve">has been </w:t>
      </w:r>
      <w:r>
        <w:rPr>
          <w:i/>
          <w:color w:val="222222"/>
        </w:rPr>
        <w:t>expanded</w:t>
      </w:r>
      <w:r>
        <w:rPr>
          <w:color w:val="222222"/>
        </w:rPr>
        <w:t xml:space="preserve"> for </w:t>
      </w:r>
      <w:r>
        <w:rPr>
          <w:i/>
          <w:color w:val="222222"/>
        </w:rPr>
        <w:t>all</w:t>
      </w:r>
      <w:r>
        <w:rPr>
          <w:color w:val="222222"/>
        </w:rPr>
        <w:t xml:space="preserve"> grade levels to include time when a student and teacher are in the same virtual classroom, receiving synchronous instruction.  </w:t>
      </w:r>
    </w:p>
    <w:p w14:paraId="00000005" w14:textId="77777777" w:rsidR="00C67484" w:rsidRDefault="00C67484">
      <w:pPr>
        <w:ind w:left="1440"/>
        <w:rPr>
          <w:color w:val="222222"/>
        </w:rPr>
      </w:pPr>
    </w:p>
    <w:p w14:paraId="00000006" w14:textId="77777777" w:rsidR="00C67484" w:rsidRDefault="00000000">
      <w:pPr>
        <w:numPr>
          <w:ilvl w:val="0"/>
          <w:numId w:val="2"/>
        </w:numPr>
        <w:shd w:val="clear" w:color="auto" w:fill="FFFFFF"/>
        <w:rPr>
          <w:sz w:val="24"/>
          <w:szCs w:val="24"/>
        </w:rPr>
      </w:pPr>
      <w:r>
        <w:rPr>
          <w:color w:val="222222"/>
        </w:rPr>
        <w:t xml:space="preserve">CDE expanded options for funding at the secondary level (i.e., grades 6-12) to include </w:t>
      </w:r>
      <w:r>
        <w:rPr>
          <w:b/>
          <w:color w:val="222222"/>
        </w:rPr>
        <w:t>alternative teacher-pupil instruction</w:t>
      </w:r>
      <w:r>
        <w:rPr>
          <w:color w:val="222222"/>
        </w:rPr>
        <w:t xml:space="preserve"> when learning takes place off-site and asynchronously. (1.01) </w:t>
      </w:r>
    </w:p>
    <w:p w14:paraId="00000007" w14:textId="77777777" w:rsidR="00C67484" w:rsidRDefault="00000000">
      <w:pPr>
        <w:numPr>
          <w:ilvl w:val="1"/>
          <w:numId w:val="2"/>
        </w:numPr>
        <w:rPr>
          <w:sz w:val="24"/>
          <w:szCs w:val="24"/>
        </w:rPr>
      </w:pPr>
      <w:r>
        <w:rPr>
          <w:color w:val="222222"/>
        </w:rPr>
        <w:t xml:space="preserve">Schools seeking to offer alternative teacher-pupil instruction will be required to submit additional documentation, including a course catalog published online prior to Count Day and an equivalency statement to the same or similar credit-bearing course that is delivered 100% on-site.  </w:t>
      </w:r>
    </w:p>
    <w:p w14:paraId="00000008" w14:textId="77777777" w:rsidR="00C67484" w:rsidRDefault="00C67484">
      <w:pPr>
        <w:ind w:left="1440"/>
        <w:rPr>
          <w:color w:val="222222"/>
        </w:rPr>
      </w:pPr>
    </w:p>
    <w:p w14:paraId="00000009" w14:textId="77777777" w:rsidR="00C67484" w:rsidRDefault="00000000">
      <w:pPr>
        <w:numPr>
          <w:ilvl w:val="0"/>
          <w:numId w:val="1"/>
        </w:numPr>
        <w:shd w:val="clear" w:color="auto" w:fill="FFFFFF"/>
        <w:rPr>
          <w:sz w:val="24"/>
          <w:szCs w:val="24"/>
        </w:rPr>
      </w:pPr>
      <w:r>
        <w:rPr>
          <w:color w:val="222222"/>
        </w:rPr>
        <w:t xml:space="preserve">Students </w:t>
      </w:r>
      <w:r>
        <w:rPr>
          <w:b/>
          <w:color w:val="222222"/>
        </w:rPr>
        <w:t>exclusively</w:t>
      </w:r>
      <w:r>
        <w:rPr>
          <w:color w:val="222222"/>
        </w:rPr>
        <w:t xml:space="preserve"> enrolled in online courses taking place </w:t>
      </w:r>
      <w:r>
        <w:rPr>
          <w:b/>
          <w:color w:val="222222"/>
        </w:rPr>
        <w:t>off-site</w:t>
      </w:r>
      <w:r>
        <w:rPr>
          <w:color w:val="222222"/>
        </w:rPr>
        <w:t xml:space="preserve"> must be enrolled in an online school or program. (5.09) </w:t>
      </w:r>
      <w:r>
        <w:t xml:space="preserve">This will impact schools that historically received a BLI waiver to offer online homeschool programming off-site. A separate email will be sent to schools that had the BLI waiver in 2023-24 outlining this change. </w:t>
      </w:r>
    </w:p>
    <w:p w14:paraId="0000000A" w14:textId="77777777" w:rsidR="00C67484" w:rsidRDefault="00C67484">
      <w:pPr>
        <w:shd w:val="clear" w:color="auto" w:fill="FFFFFF"/>
      </w:pPr>
    </w:p>
    <w:p w14:paraId="0000000B" w14:textId="77777777" w:rsidR="00C67484" w:rsidRDefault="00000000">
      <w:pPr>
        <w:numPr>
          <w:ilvl w:val="0"/>
          <w:numId w:val="1"/>
        </w:numPr>
        <w:shd w:val="clear" w:color="auto" w:fill="FFFFFF"/>
        <w:rPr>
          <w:sz w:val="24"/>
          <w:szCs w:val="24"/>
        </w:rPr>
      </w:pPr>
      <w:r>
        <w:rPr>
          <w:color w:val="222222"/>
        </w:rPr>
        <w:t xml:space="preserve">Students enrolled only in courses offered by an institution of higher education may be counted in the full-time funded pupil count if the number of semester credit hours is equal to </w:t>
      </w:r>
      <w:r>
        <w:rPr>
          <w:b/>
          <w:color w:val="222222"/>
        </w:rPr>
        <w:t>at least twelve semester credit hours</w:t>
      </w:r>
      <w:r>
        <w:rPr>
          <w:color w:val="222222"/>
        </w:rPr>
        <w:t xml:space="preserve">. (5.10) </w:t>
      </w:r>
      <w:r>
        <w:t xml:space="preserve">This will impact Early Colleges that historically were able to claim full-time funding for students enrolled in 7-11 semester credit hours at an IHE. </w:t>
      </w:r>
    </w:p>
    <w:p w14:paraId="0000000C" w14:textId="77777777" w:rsidR="00C67484" w:rsidRDefault="00C67484">
      <w:pPr>
        <w:shd w:val="clear" w:color="auto" w:fill="FFFFFF"/>
        <w:ind w:left="720"/>
      </w:pPr>
    </w:p>
    <w:p w14:paraId="0000000D" w14:textId="77777777" w:rsidR="00C67484" w:rsidRDefault="00000000">
      <w:pPr>
        <w:numPr>
          <w:ilvl w:val="0"/>
          <w:numId w:val="1"/>
        </w:numPr>
        <w:shd w:val="clear" w:color="auto" w:fill="FFFFFF"/>
        <w:rPr>
          <w:sz w:val="24"/>
          <w:szCs w:val="24"/>
        </w:rPr>
      </w:pPr>
      <w:r>
        <w:rPr>
          <w:color w:val="222222"/>
        </w:rPr>
        <w:t xml:space="preserve">A student who has recently moved to Colorado and establishes attendance before the end of the 11-day count period may be included in a school’s pupil membership only if Colorado residency was established </w:t>
      </w:r>
      <w:r>
        <w:rPr>
          <w:b/>
          <w:color w:val="222222"/>
        </w:rPr>
        <w:t>within 30 calendar days</w:t>
      </w:r>
      <w:r>
        <w:rPr>
          <w:color w:val="222222"/>
        </w:rPr>
        <w:t xml:space="preserve"> preceding the count day. (5.04)</w:t>
      </w:r>
      <w:r>
        <w:t xml:space="preserve"> This is a slightly shorter window than the previous requirement of moving to Colorado "during the current school year”.  </w:t>
      </w:r>
    </w:p>
    <w:p w14:paraId="0000000E" w14:textId="77777777" w:rsidR="00C67484" w:rsidRDefault="00C67484">
      <w:pPr>
        <w:shd w:val="clear" w:color="auto" w:fill="FFFFFF"/>
      </w:pPr>
    </w:p>
    <w:p w14:paraId="0000000F" w14:textId="77777777" w:rsidR="00C67484" w:rsidRDefault="00000000">
      <w:pPr>
        <w:numPr>
          <w:ilvl w:val="0"/>
          <w:numId w:val="1"/>
        </w:numPr>
        <w:shd w:val="clear" w:color="auto" w:fill="FFFFFF"/>
        <w:rPr>
          <w:sz w:val="24"/>
          <w:szCs w:val="24"/>
        </w:rPr>
      </w:pPr>
      <w:r>
        <w:rPr>
          <w:color w:val="222222"/>
        </w:rPr>
        <w:t xml:space="preserve">Schools should record withdrawals and transfers as of the </w:t>
      </w:r>
      <w:r>
        <w:rPr>
          <w:b/>
          <w:color w:val="222222"/>
        </w:rPr>
        <w:t xml:space="preserve">last date of attendance </w:t>
      </w:r>
      <w:r>
        <w:rPr>
          <w:color w:val="222222"/>
        </w:rPr>
        <w:t xml:space="preserve">prior to the date the pupil or the pupil's parent or guardian gives oral or written notification of the withdrawal or transfer. (5.02) </w:t>
      </w:r>
    </w:p>
    <w:p w14:paraId="00000010" w14:textId="77777777" w:rsidR="00C67484" w:rsidRDefault="00C67484">
      <w:pPr>
        <w:shd w:val="clear" w:color="auto" w:fill="FFFFFF"/>
        <w:rPr>
          <w:color w:val="222222"/>
        </w:rPr>
      </w:pPr>
    </w:p>
    <w:p w14:paraId="00000011" w14:textId="77777777" w:rsidR="00C67484" w:rsidRDefault="00000000">
      <w:pPr>
        <w:numPr>
          <w:ilvl w:val="0"/>
          <w:numId w:val="1"/>
        </w:numPr>
        <w:shd w:val="clear" w:color="auto" w:fill="FFFFFF"/>
        <w:rPr>
          <w:sz w:val="24"/>
          <w:szCs w:val="24"/>
        </w:rPr>
      </w:pPr>
      <w:r>
        <w:rPr>
          <w:color w:val="222222"/>
        </w:rPr>
        <w:t xml:space="preserve">Schools that offer homeschool enrichment to grade levels that traditionally enrolled students aren’t served in will need to go through a grade request process. (5.01) </w:t>
      </w:r>
      <w:r>
        <w:t xml:space="preserve">This will impact any schools that offer homeschool in non-traditional grade levels (ex: school traditionally serves grades 6-12 but offers homeschool enrichment in K-5). A separate </w:t>
      </w:r>
      <w:r>
        <w:lastRenderedPageBreak/>
        <w:t xml:space="preserve">email will be sent to schools currently offering homeschool to confirm what grade levels they will offer homeschool programming in for 2024-25 in case a grade change request must be submitted by ERBOCES to CDE for 24-25. </w:t>
      </w:r>
    </w:p>
    <w:p w14:paraId="00000012" w14:textId="77777777" w:rsidR="00C67484" w:rsidRDefault="00C67484">
      <w:pPr>
        <w:shd w:val="clear" w:color="auto" w:fill="FFFFFF"/>
      </w:pPr>
    </w:p>
    <w:p w14:paraId="00000013" w14:textId="77777777" w:rsidR="00C67484" w:rsidRDefault="00000000">
      <w:pPr>
        <w:numPr>
          <w:ilvl w:val="0"/>
          <w:numId w:val="1"/>
        </w:numPr>
        <w:shd w:val="clear" w:color="auto" w:fill="FFFFFF"/>
        <w:rPr>
          <w:sz w:val="24"/>
          <w:szCs w:val="24"/>
        </w:rPr>
      </w:pPr>
      <w:r>
        <w:rPr>
          <w:color w:val="222222"/>
        </w:rPr>
        <w:t>Historically, rule allowed each local board to define the ‘educational process’ in the determination of instructional time. “Educational process” is no longer included in rule.</w:t>
      </w:r>
      <w:r>
        <w:rPr>
          <w:color w:val="FF0000"/>
        </w:rPr>
        <w:t xml:space="preserve"> </w:t>
      </w:r>
      <w:r>
        <w:t xml:space="preserve">This has been removed as there is standard language about instructional time (2.05). ERBOCES will be updating its sample policies in the coming months to reflect this change, and local boards may choose to update existing policies as well. </w:t>
      </w:r>
    </w:p>
    <w:p w14:paraId="00000014" w14:textId="77777777" w:rsidR="00C67484" w:rsidRDefault="00C67484"/>
    <w:sectPr w:rsidR="00C6748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82BE8" w14:textId="77777777" w:rsidR="00F56C4C" w:rsidRDefault="00F56C4C" w:rsidP="007303E9">
      <w:pPr>
        <w:spacing w:line="240" w:lineRule="auto"/>
      </w:pPr>
      <w:r>
        <w:separator/>
      </w:r>
    </w:p>
  </w:endnote>
  <w:endnote w:type="continuationSeparator" w:id="0">
    <w:p w14:paraId="32E0CD67" w14:textId="77777777" w:rsidR="00F56C4C" w:rsidRDefault="00F56C4C" w:rsidP="007303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0F065" w14:textId="77777777" w:rsidR="007303E9" w:rsidRDefault="00730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ECFF2" w14:textId="77777777" w:rsidR="007303E9" w:rsidRDefault="007303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64E46" w14:textId="77777777" w:rsidR="007303E9" w:rsidRDefault="00730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E7C8E" w14:textId="77777777" w:rsidR="00F56C4C" w:rsidRDefault="00F56C4C" w:rsidP="007303E9">
      <w:pPr>
        <w:spacing w:line="240" w:lineRule="auto"/>
      </w:pPr>
      <w:r>
        <w:separator/>
      </w:r>
    </w:p>
  </w:footnote>
  <w:footnote w:type="continuationSeparator" w:id="0">
    <w:p w14:paraId="12C831B8" w14:textId="77777777" w:rsidR="00F56C4C" w:rsidRDefault="00F56C4C" w:rsidP="007303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B88DD" w14:textId="77777777" w:rsidR="007303E9" w:rsidRDefault="00730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76DAB" w14:textId="227322A0" w:rsidR="007303E9" w:rsidRDefault="007303E9">
    <w:pPr>
      <w:pStyle w:val="Header"/>
    </w:pPr>
    <w:r>
      <w:rPr>
        <w:noProof/>
      </w:rPr>
      <w:drawing>
        <wp:inline distT="0" distB="0" distL="0" distR="0" wp14:anchorId="36040C2C" wp14:editId="5453C8BA">
          <wp:extent cx="1043940" cy="1043940"/>
          <wp:effectExtent l="0" t="0" r="0" b="0"/>
          <wp:docPr id="1981515308" name="Picture 2" descr="A green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515308" name="Picture 2" descr="A green and black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044069" cy="10440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4C04A" w14:textId="77777777" w:rsidR="007303E9" w:rsidRDefault="007303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9785C"/>
    <w:multiLevelType w:val="multilevel"/>
    <w:tmpl w:val="54D4E3C8"/>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rFonts w:ascii="Arial" w:eastAsia="Arial" w:hAnsi="Arial" w:cs="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DA7272"/>
    <w:multiLevelType w:val="multilevel"/>
    <w:tmpl w:val="B2D632BA"/>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21985364">
    <w:abstractNumId w:val="1"/>
  </w:num>
  <w:num w:numId="2" w16cid:durableId="710962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484"/>
    <w:rsid w:val="007303E9"/>
    <w:rsid w:val="00C67484"/>
    <w:rsid w:val="00F56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8CBEA28-D016-40AB-8674-36086A74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303E9"/>
    <w:pPr>
      <w:tabs>
        <w:tab w:val="center" w:pos="4680"/>
        <w:tab w:val="right" w:pos="9360"/>
      </w:tabs>
      <w:spacing w:line="240" w:lineRule="auto"/>
    </w:pPr>
  </w:style>
  <w:style w:type="character" w:customStyle="1" w:styleId="HeaderChar">
    <w:name w:val="Header Char"/>
    <w:basedOn w:val="DefaultParagraphFont"/>
    <w:link w:val="Header"/>
    <w:uiPriority w:val="99"/>
    <w:rsid w:val="007303E9"/>
  </w:style>
  <w:style w:type="paragraph" w:styleId="Footer">
    <w:name w:val="footer"/>
    <w:basedOn w:val="Normal"/>
    <w:link w:val="FooterChar"/>
    <w:uiPriority w:val="99"/>
    <w:unhideWhenUsed/>
    <w:rsid w:val="007303E9"/>
    <w:pPr>
      <w:tabs>
        <w:tab w:val="center" w:pos="4680"/>
        <w:tab w:val="right" w:pos="9360"/>
      </w:tabs>
      <w:spacing w:line="240" w:lineRule="auto"/>
    </w:pPr>
  </w:style>
  <w:style w:type="character" w:customStyle="1" w:styleId="FooterChar">
    <w:name w:val="Footer Char"/>
    <w:basedOn w:val="DefaultParagraphFont"/>
    <w:link w:val="Footer"/>
    <w:uiPriority w:val="99"/>
    <w:rsid w:val="00730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Dee Frank</cp:lastModifiedBy>
  <cp:revision>2</cp:revision>
  <dcterms:created xsi:type="dcterms:W3CDTF">2024-04-16T20:18:00Z</dcterms:created>
  <dcterms:modified xsi:type="dcterms:W3CDTF">2024-04-16T20:19:00Z</dcterms:modified>
</cp:coreProperties>
</file>