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C10B1"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hanging="360"/>
        <w:jc w:val="center"/>
        <w:rPr>
          <w:rFonts w:ascii="Roboto" w:eastAsia="Roboto" w:hAnsi="Roboto" w:cs="Roboto"/>
          <w:b/>
          <w:sz w:val="28"/>
          <w:szCs w:val="28"/>
        </w:rPr>
      </w:pPr>
      <w:r>
        <w:rPr>
          <w:rFonts w:ascii="Roboto" w:eastAsia="Roboto" w:hAnsi="Roboto" w:cs="Roboto"/>
          <w:b/>
          <w:sz w:val="28"/>
          <w:szCs w:val="28"/>
        </w:rPr>
        <w:t>Título I Plan de Agencia Educativa Local LEA</w:t>
      </w:r>
    </w:p>
    <w:p w14:paraId="00000002" w14:textId="77777777" w:rsidR="007C10B1"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hanging="360"/>
        <w:jc w:val="center"/>
        <w:rPr>
          <w:rFonts w:ascii="Roboto" w:eastAsia="Roboto" w:hAnsi="Roboto" w:cs="Roboto"/>
          <w:b/>
          <w:sz w:val="28"/>
          <w:szCs w:val="28"/>
          <w:shd w:val="clear" w:color="auto" w:fill="ADFF2F"/>
        </w:rPr>
      </w:pPr>
      <w:r>
        <w:rPr>
          <w:rFonts w:ascii="Roboto" w:eastAsia="Roboto" w:hAnsi="Roboto" w:cs="Roboto"/>
          <w:b/>
          <w:sz w:val="28"/>
          <w:szCs w:val="28"/>
        </w:rPr>
        <w:t>Política de participación de padres y familias actualizada para 2024-2025</w:t>
      </w:r>
    </w:p>
    <w:p w14:paraId="00000003" w14:textId="77777777" w:rsidR="007C10B1" w:rsidRDefault="007C10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ind w:left="720"/>
        <w:rPr>
          <w:rFonts w:ascii="Roboto" w:eastAsia="Roboto" w:hAnsi="Roboto" w:cs="Roboto"/>
        </w:rPr>
      </w:pPr>
    </w:p>
    <w:p w14:paraId="00000004" w14:textId="77777777" w:rsidR="007C10B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sz w:val="24"/>
          <w:szCs w:val="24"/>
        </w:rPr>
      </w:pPr>
      <w:r>
        <w:rPr>
          <w:rFonts w:ascii="Roboto" w:eastAsia="Roboto" w:hAnsi="Roboto" w:cs="Roboto"/>
          <w:sz w:val="24"/>
          <w:szCs w:val="24"/>
        </w:rPr>
        <w:t>Las escuelas de Rock Hill colaborarán con los padres y las familias para crear un plan a nivel distrital para la participación de los padres y las familias según lo exige la sección 1116 de la ESSA. Esto implica formar un comité de padres representativos y miembros de la familia que se reúnen anualmente para revisar y mejorar la política del distrito. Se insta a los padres a unirse a este comité y se les informa al respecto a través de los boletines escolares y el sitio web del distrito. Se recomiendan sugerencias y cambios a la Política de participación de padres y familias de LEA y se implementarán siempre que sea posible. Todos los padres tendrán oportunidades de dar su opinión comunicándose con el distrito y las escuelas.</w:t>
      </w:r>
    </w:p>
    <w:p w14:paraId="00000005" w14:textId="77777777" w:rsidR="007C10B1" w:rsidRDefault="007C10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ind w:left="720"/>
        <w:rPr>
          <w:rFonts w:ascii="Roboto" w:eastAsia="Roboto" w:hAnsi="Roboto" w:cs="Roboto"/>
          <w:sz w:val="24"/>
          <w:szCs w:val="24"/>
        </w:rPr>
      </w:pPr>
    </w:p>
    <w:p w14:paraId="00000006" w14:textId="77777777" w:rsidR="007C10B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sz w:val="24"/>
          <w:szCs w:val="24"/>
        </w:rPr>
      </w:pPr>
      <w:r>
        <w:rPr>
          <w:rFonts w:ascii="Roboto" w:eastAsia="Roboto" w:hAnsi="Roboto" w:cs="Roboto"/>
          <w:sz w:val="24"/>
          <w:szCs w:val="24"/>
        </w:rPr>
        <w:t xml:space="preserve">Las escuelas de Rock Hill apoyarán a las escuelas de Título I, Parte A en la organización de actividades efectivas de participación de los padres y las familias para mejorar el rendimiento académico de los estudiantes y el desempeño escolar a través de la Asociación de Educación para Padres </w:t>
      </w:r>
      <w:proofErr w:type="spellStart"/>
      <w:r>
        <w:rPr>
          <w:rFonts w:ascii="Roboto" w:eastAsia="Roboto" w:hAnsi="Roboto" w:cs="Roboto"/>
          <w:sz w:val="24"/>
          <w:szCs w:val="24"/>
        </w:rPr>
        <w:t>ParentSMART</w:t>
      </w:r>
      <w:proofErr w:type="spellEnd"/>
      <w:r>
        <w:rPr>
          <w:rFonts w:ascii="Roboto" w:eastAsia="Roboto" w:hAnsi="Roboto" w:cs="Roboto"/>
          <w:sz w:val="24"/>
          <w:szCs w:val="24"/>
        </w:rPr>
        <w:t xml:space="preserve"> del distrito. Este programa proporciona educadores de padres que realizan visitas de instrucción personalizadas. El objetivo de la visita de instrucción personalizada es empoderar a los padres y cuidadores como educadores principales de sus hijos demostrando interacciones entre padres e hijos, proporcionando materiales y recursos adecuados y ofreciendo apoyo en entornos naturales. Los talleres se llevan a cabo en escuelas de Título I y en el Centro de Aprendizaje Familiar en Sylvia </w:t>
      </w:r>
      <w:proofErr w:type="spellStart"/>
      <w:r>
        <w:rPr>
          <w:rFonts w:ascii="Roboto" w:eastAsia="Roboto" w:hAnsi="Roboto" w:cs="Roboto"/>
          <w:sz w:val="24"/>
          <w:szCs w:val="24"/>
        </w:rPr>
        <w:t>Circle</w:t>
      </w:r>
      <w:proofErr w:type="spellEnd"/>
      <w:r>
        <w:rPr>
          <w:rFonts w:ascii="Roboto" w:eastAsia="Roboto" w:hAnsi="Roboto" w:cs="Roboto"/>
          <w:sz w:val="24"/>
          <w:szCs w:val="24"/>
        </w:rPr>
        <w:t xml:space="preserve">. Se han establecido bibliotecas de </w:t>
      </w:r>
      <w:r>
        <w:rPr>
          <w:rFonts w:ascii="Roboto" w:eastAsia="Roboto" w:hAnsi="Roboto" w:cs="Roboto"/>
          <w:sz w:val="24"/>
          <w:szCs w:val="24"/>
        </w:rPr>
        <w:lastRenderedPageBreak/>
        <w:t xml:space="preserve">préstamo para padres en todas las escuelas de Título I. Además, el Centro de aprendizaje familiar ofrece varios servicios para apoyar a padres e hijos, incluidos York County </w:t>
      </w:r>
      <w:proofErr w:type="spellStart"/>
      <w:r>
        <w:rPr>
          <w:rFonts w:ascii="Roboto" w:eastAsia="Roboto" w:hAnsi="Roboto" w:cs="Roboto"/>
          <w:sz w:val="24"/>
          <w:szCs w:val="24"/>
        </w:rPr>
        <w:t>First</w:t>
      </w:r>
      <w:proofErr w:type="spellEnd"/>
      <w:r>
        <w:rPr>
          <w:rFonts w:ascii="Roboto" w:eastAsia="Roboto" w:hAnsi="Roboto" w:cs="Roboto"/>
          <w:sz w:val="24"/>
          <w:szCs w:val="24"/>
        </w:rPr>
        <w:t xml:space="preserve"> </w:t>
      </w:r>
      <w:proofErr w:type="spellStart"/>
      <w:r>
        <w:rPr>
          <w:rFonts w:ascii="Roboto" w:eastAsia="Roboto" w:hAnsi="Roboto" w:cs="Roboto"/>
          <w:sz w:val="24"/>
          <w:szCs w:val="24"/>
        </w:rPr>
        <w:t>Steps</w:t>
      </w:r>
      <w:proofErr w:type="spellEnd"/>
      <w:r>
        <w:rPr>
          <w:rFonts w:ascii="Roboto" w:eastAsia="Roboto" w:hAnsi="Roboto" w:cs="Roboto"/>
          <w:sz w:val="24"/>
          <w:szCs w:val="24"/>
        </w:rPr>
        <w:t xml:space="preserve">, </w:t>
      </w:r>
      <w:proofErr w:type="spellStart"/>
      <w:r>
        <w:rPr>
          <w:rFonts w:ascii="Roboto" w:eastAsia="Roboto" w:hAnsi="Roboto" w:cs="Roboto"/>
          <w:sz w:val="24"/>
          <w:szCs w:val="24"/>
        </w:rPr>
        <w:t>Family</w:t>
      </w:r>
      <w:proofErr w:type="spellEnd"/>
      <w:r>
        <w:rPr>
          <w:rFonts w:ascii="Roboto" w:eastAsia="Roboto" w:hAnsi="Roboto" w:cs="Roboto"/>
          <w:sz w:val="24"/>
          <w:szCs w:val="24"/>
        </w:rPr>
        <w:t xml:space="preserve"> </w:t>
      </w:r>
      <w:proofErr w:type="spellStart"/>
      <w:r>
        <w:rPr>
          <w:rFonts w:ascii="Roboto" w:eastAsia="Roboto" w:hAnsi="Roboto" w:cs="Roboto"/>
          <w:sz w:val="24"/>
          <w:szCs w:val="24"/>
        </w:rPr>
        <w:t>Connections</w:t>
      </w:r>
      <w:proofErr w:type="spellEnd"/>
      <w:r>
        <w:rPr>
          <w:rFonts w:ascii="Roboto" w:eastAsia="Roboto" w:hAnsi="Roboto" w:cs="Roboto"/>
          <w:sz w:val="24"/>
          <w:szCs w:val="24"/>
        </w:rPr>
        <w:t xml:space="preserve"> </w:t>
      </w:r>
      <w:proofErr w:type="spellStart"/>
      <w:r>
        <w:rPr>
          <w:rFonts w:ascii="Roboto" w:eastAsia="Roboto" w:hAnsi="Roboto" w:cs="Roboto"/>
          <w:sz w:val="24"/>
          <w:szCs w:val="24"/>
        </w:rPr>
        <w:t>of</w:t>
      </w:r>
      <w:proofErr w:type="spellEnd"/>
      <w:r>
        <w:rPr>
          <w:rFonts w:ascii="Roboto" w:eastAsia="Roboto" w:hAnsi="Roboto" w:cs="Roboto"/>
          <w:sz w:val="24"/>
          <w:szCs w:val="24"/>
        </w:rPr>
        <w:t xml:space="preserve"> South Carolina, consejeros certificados de SC </w:t>
      </w:r>
      <w:proofErr w:type="spellStart"/>
      <w:r>
        <w:rPr>
          <w:rFonts w:ascii="Roboto" w:eastAsia="Roboto" w:hAnsi="Roboto" w:cs="Roboto"/>
          <w:sz w:val="24"/>
          <w:szCs w:val="24"/>
        </w:rPr>
        <w:t>Thrive</w:t>
      </w:r>
      <w:proofErr w:type="spellEnd"/>
      <w:r>
        <w:rPr>
          <w:rFonts w:ascii="Roboto" w:eastAsia="Roboto" w:hAnsi="Roboto" w:cs="Roboto"/>
          <w:sz w:val="24"/>
          <w:szCs w:val="24"/>
        </w:rPr>
        <w:t xml:space="preserve"> </w:t>
      </w:r>
      <w:proofErr w:type="spellStart"/>
      <w:r>
        <w:rPr>
          <w:rFonts w:ascii="Roboto" w:eastAsia="Roboto" w:hAnsi="Roboto" w:cs="Roboto"/>
          <w:sz w:val="24"/>
          <w:szCs w:val="24"/>
        </w:rPr>
        <w:t>Benefits</w:t>
      </w:r>
      <w:proofErr w:type="spellEnd"/>
      <w:r>
        <w:rPr>
          <w:rFonts w:ascii="Roboto" w:eastAsia="Roboto" w:hAnsi="Roboto" w:cs="Roboto"/>
          <w:sz w:val="24"/>
          <w:szCs w:val="24"/>
        </w:rPr>
        <w:t xml:space="preserve"> Bank </w:t>
      </w:r>
      <w:proofErr w:type="spellStart"/>
      <w:r>
        <w:rPr>
          <w:rFonts w:ascii="Roboto" w:eastAsia="Roboto" w:hAnsi="Roboto" w:cs="Roboto"/>
          <w:sz w:val="24"/>
          <w:szCs w:val="24"/>
        </w:rPr>
        <w:t>of</w:t>
      </w:r>
      <w:proofErr w:type="spellEnd"/>
      <w:r>
        <w:rPr>
          <w:rFonts w:ascii="Roboto" w:eastAsia="Roboto" w:hAnsi="Roboto" w:cs="Roboto"/>
          <w:sz w:val="24"/>
          <w:szCs w:val="24"/>
        </w:rPr>
        <w:t xml:space="preserve"> SC y el ESOL </w:t>
      </w:r>
      <w:proofErr w:type="spellStart"/>
      <w:r>
        <w:rPr>
          <w:rFonts w:ascii="Roboto" w:eastAsia="Roboto" w:hAnsi="Roboto" w:cs="Roboto"/>
          <w:sz w:val="24"/>
          <w:szCs w:val="24"/>
        </w:rPr>
        <w:t>Welcome</w:t>
      </w:r>
      <w:proofErr w:type="spellEnd"/>
      <w:r>
        <w:rPr>
          <w:rFonts w:ascii="Roboto" w:eastAsia="Roboto" w:hAnsi="Roboto" w:cs="Roboto"/>
          <w:sz w:val="24"/>
          <w:szCs w:val="24"/>
        </w:rPr>
        <w:t xml:space="preserve"> Center.</w:t>
      </w:r>
    </w:p>
    <w:p w14:paraId="00000007" w14:textId="77777777" w:rsidR="007C10B1" w:rsidRDefault="007C10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sz w:val="24"/>
          <w:szCs w:val="24"/>
        </w:rPr>
      </w:pPr>
    </w:p>
    <w:p w14:paraId="00000008" w14:textId="77777777" w:rsidR="007C10B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color w:val="0D0D0D"/>
          <w:sz w:val="24"/>
          <w:szCs w:val="24"/>
          <w:highlight w:val="white"/>
        </w:rPr>
      </w:pPr>
      <w:r>
        <w:rPr>
          <w:rFonts w:ascii="Roboto" w:eastAsia="Roboto" w:hAnsi="Roboto" w:cs="Roboto"/>
          <w:color w:val="0D0D0D"/>
          <w:sz w:val="24"/>
          <w:szCs w:val="24"/>
          <w:highlight w:val="white"/>
        </w:rPr>
        <w:t xml:space="preserve"> Las escuelas de Rock Hill fortalecen la participación de los padres y las familias al proporcionar un Coordinador de Título I/Especialista en padres. Esta persona coordina talleres continuos y desarrollo del personal en ELA y Matemáticas en colaboración con las escuelas, y organiza traductores para padres y familias de estudiantes multilingües durante las conferencias de estudiantes. Los servicios para padres y familias se brindan a través de </w:t>
      </w:r>
      <w:proofErr w:type="spellStart"/>
      <w:r>
        <w:rPr>
          <w:rFonts w:ascii="Roboto" w:eastAsia="Roboto" w:hAnsi="Roboto" w:cs="Roboto"/>
          <w:color w:val="0D0D0D"/>
          <w:sz w:val="24"/>
          <w:szCs w:val="24"/>
          <w:highlight w:val="white"/>
        </w:rPr>
        <w:t>ParentSMART</w:t>
      </w:r>
      <w:proofErr w:type="spellEnd"/>
      <w:r>
        <w:rPr>
          <w:rFonts w:ascii="Roboto" w:eastAsia="Roboto" w:hAnsi="Roboto" w:cs="Roboto"/>
          <w:color w:val="0D0D0D"/>
          <w:sz w:val="24"/>
          <w:szCs w:val="24"/>
          <w:highlight w:val="white"/>
        </w:rPr>
        <w:t xml:space="preserve">, junto con recursos disponibles a través de bibliotecas de préstamo para padres en las escuelas y </w:t>
      </w:r>
      <w:proofErr w:type="spellStart"/>
      <w:r>
        <w:rPr>
          <w:rFonts w:ascii="Roboto" w:eastAsia="Roboto" w:hAnsi="Roboto" w:cs="Roboto"/>
          <w:color w:val="0D0D0D"/>
          <w:sz w:val="24"/>
          <w:szCs w:val="24"/>
          <w:highlight w:val="white"/>
        </w:rPr>
        <w:t>ParentSMART</w:t>
      </w:r>
      <w:proofErr w:type="spellEnd"/>
      <w:r>
        <w:rPr>
          <w:rFonts w:ascii="Roboto" w:eastAsia="Roboto" w:hAnsi="Roboto" w:cs="Roboto"/>
          <w:color w:val="0D0D0D"/>
          <w:sz w:val="24"/>
          <w:szCs w:val="24"/>
          <w:highlight w:val="white"/>
        </w:rPr>
        <w:t>.</w:t>
      </w:r>
    </w:p>
    <w:p w14:paraId="00000009" w14:textId="77777777" w:rsidR="007C10B1" w:rsidRDefault="007C10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ind w:left="720"/>
        <w:rPr>
          <w:rFonts w:ascii="Roboto" w:eastAsia="Roboto" w:hAnsi="Roboto" w:cs="Roboto"/>
          <w:color w:val="0D0D0D"/>
          <w:sz w:val="24"/>
          <w:szCs w:val="24"/>
          <w:highlight w:val="white"/>
        </w:rPr>
      </w:pPr>
    </w:p>
    <w:p w14:paraId="0000000A" w14:textId="77777777" w:rsidR="007C10B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color w:val="0D0D0D"/>
          <w:sz w:val="24"/>
          <w:szCs w:val="24"/>
          <w:highlight w:val="white"/>
        </w:rPr>
      </w:pPr>
      <w:r>
        <w:rPr>
          <w:rFonts w:ascii="Roboto" w:eastAsia="Roboto" w:hAnsi="Roboto" w:cs="Roboto"/>
          <w:color w:val="0D0D0D"/>
          <w:sz w:val="24"/>
          <w:szCs w:val="24"/>
          <w:highlight w:val="white"/>
        </w:rPr>
        <w:t>Las escuelas de Rock Hill integran estrategias de participación de padres y familias en el Título I, Parte A con varios otros programas:</w:t>
      </w:r>
    </w:p>
    <w:p w14:paraId="0000000B" w14:textId="77777777" w:rsidR="007C10B1"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 xml:space="preserve">1. Colaboración con Primeros Pasos del Condado de York y la Asociación de Aprendizaje Temprano del Condado de York, junto con otros programas de educación para padres/alfabetización familiar del distrito. Las subvenciones de Primeros Pasos del Condado de York, la Fundación Hermanas de la Misericordia y el </w:t>
      </w:r>
      <w:proofErr w:type="spellStart"/>
      <w:r>
        <w:rPr>
          <w:rFonts w:ascii="Roboto" w:eastAsia="Roboto" w:hAnsi="Roboto" w:cs="Roboto"/>
          <w:color w:val="0D0D0D"/>
          <w:sz w:val="24"/>
          <w:szCs w:val="24"/>
          <w:highlight w:val="white"/>
        </w:rPr>
        <w:t>Children's</w:t>
      </w:r>
      <w:proofErr w:type="spellEnd"/>
      <w:r>
        <w:rPr>
          <w:rFonts w:ascii="Roboto" w:eastAsia="Roboto" w:hAnsi="Roboto" w:cs="Roboto"/>
          <w:color w:val="0D0D0D"/>
          <w:sz w:val="24"/>
          <w:szCs w:val="24"/>
          <w:highlight w:val="white"/>
        </w:rPr>
        <w:t xml:space="preserve"> Trust de Carolina del Sur apoyan a educadores y materiales adicionales para padres.</w:t>
      </w:r>
    </w:p>
    <w:p w14:paraId="0000000C" w14:textId="77777777" w:rsidR="007C10B1"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2. Todos los educadores de padres en Rock Hill están certificados en el plan de estudios de Padres como Maestros (PAT), incluida la certificación en Padres Adolescentes y Familias de Apoyo de Niños con Necesidades Especiales.</w:t>
      </w:r>
    </w:p>
    <w:p w14:paraId="0000000D" w14:textId="77777777" w:rsidR="007C10B1"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lastRenderedPageBreak/>
        <w:t xml:space="preserve">3. La Asociación de Educación para Padres </w:t>
      </w:r>
      <w:proofErr w:type="spellStart"/>
      <w:r>
        <w:rPr>
          <w:rFonts w:ascii="Roboto" w:eastAsia="Roboto" w:hAnsi="Roboto" w:cs="Roboto"/>
          <w:color w:val="0D0D0D"/>
          <w:sz w:val="24"/>
          <w:szCs w:val="24"/>
          <w:highlight w:val="white"/>
        </w:rPr>
        <w:t>ParentSMART</w:t>
      </w:r>
      <w:proofErr w:type="spellEnd"/>
      <w:r>
        <w:rPr>
          <w:rFonts w:ascii="Roboto" w:eastAsia="Roboto" w:hAnsi="Roboto" w:cs="Roboto"/>
          <w:color w:val="0D0D0D"/>
          <w:sz w:val="24"/>
          <w:szCs w:val="24"/>
          <w:highlight w:val="white"/>
        </w:rPr>
        <w:t xml:space="preserve"> de las Escuelas de Rock Hill estableció la Asociación de Alfabetización Familiar, inicialmente financiada por SC </w:t>
      </w:r>
      <w:proofErr w:type="spellStart"/>
      <w:r>
        <w:rPr>
          <w:rFonts w:ascii="Roboto" w:eastAsia="Roboto" w:hAnsi="Roboto" w:cs="Roboto"/>
          <w:color w:val="0D0D0D"/>
          <w:sz w:val="24"/>
          <w:szCs w:val="24"/>
          <w:highlight w:val="white"/>
        </w:rPr>
        <w:t>First</w:t>
      </w:r>
      <w:proofErr w:type="spellEnd"/>
      <w:r>
        <w:rPr>
          <w:rFonts w:ascii="Roboto" w:eastAsia="Roboto" w:hAnsi="Roboto" w:cs="Roboto"/>
          <w:color w:val="0D0D0D"/>
          <w:sz w:val="24"/>
          <w:szCs w:val="24"/>
          <w:highlight w:val="white"/>
        </w:rPr>
        <w:t xml:space="preserve"> </w:t>
      </w:r>
      <w:proofErr w:type="spellStart"/>
      <w:r>
        <w:rPr>
          <w:rFonts w:ascii="Roboto" w:eastAsia="Roboto" w:hAnsi="Roboto" w:cs="Roboto"/>
          <w:color w:val="0D0D0D"/>
          <w:sz w:val="24"/>
          <w:szCs w:val="24"/>
          <w:highlight w:val="white"/>
        </w:rPr>
        <w:t>Steps</w:t>
      </w:r>
      <w:proofErr w:type="spellEnd"/>
      <w:r>
        <w:rPr>
          <w:rFonts w:ascii="Roboto" w:eastAsia="Roboto" w:hAnsi="Roboto" w:cs="Roboto"/>
          <w:color w:val="0D0D0D"/>
          <w:sz w:val="24"/>
          <w:szCs w:val="24"/>
          <w:highlight w:val="white"/>
        </w:rPr>
        <w:t xml:space="preserve"> y actualmente financiada por el Departamento de Educación del Estado de SC en virtud de la Subvención de Alfabetización Familiar de la Ley de Oportunidades e Innovación de la Fuerza Laboral (WIOA).</w:t>
      </w:r>
    </w:p>
    <w:p w14:paraId="0000000E" w14:textId="77777777" w:rsidR="007C10B1"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 xml:space="preserve">4. La Asociación de Alfabetización Familiar sigue el modelo </w:t>
      </w:r>
      <w:proofErr w:type="spellStart"/>
      <w:r>
        <w:rPr>
          <w:rFonts w:ascii="Roboto" w:eastAsia="Roboto" w:hAnsi="Roboto" w:cs="Roboto"/>
          <w:color w:val="0D0D0D"/>
          <w:sz w:val="24"/>
          <w:szCs w:val="24"/>
          <w:highlight w:val="white"/>
        </w:rPr>
        <w:t>Even</w:t>
      </w:r>
      <w:proofErr w:type="spellEnd"/>
      <w:r>
        <w:rPr>
          <w:rFonts w:ascii="Roboto" w:eastAsia="Roboto" w:hAnsi="Roboto" w:cs="Roboto"/>
          <w:color w:val="0D0D0D"/>
          <w:sz w:val="24"/>
          <w:szCs w:val="24"/>
          <w:highlight w:val="white"/>
        </w:rPr>
        <w:t xml:space="preserve"> </w:t>
      </w:r>
      <w:proofErr w:type="spellStart"/>
      <w:r>
        <w:rPr>
          <w:rFonts w:ascii="Roboto" w:eastAsia="Roboto" w:hAnsi="Roboto" w:cs="Roboto"/>
          <w:color w:val="0D0D0D"/>
          <w:sz w:val="24"/>
          <w:szCs w:val="24"/>
          <w:highlight w:val="white"/>
        </w:rPr>
        <w:t>Start</w:t>
      </w:r>
      <w:proofErr w:type="spellEnd"/>
      <w:r>
        <w:rPr>
          <w:rFonts w:ascii="Roboto" w:eastAsia="Roboto" w:hAnsi="Roboto" w:cs="Roboto"/>
          <w:color w:val="0D0D0D"/>
          <w:sz w:val="24"/>
          <w:szCs w:val="24"/>
          <w:highlight w:val="white"/>
        </w:rPr>
        <w:t>, ayudando a los padres a completar la escuela secundaria, educación ESOL, ciudadanía, capacitación en computación y servicios profesionales, coordinados con el Programa de Educación para Adultos del distrito.</w:t>
      </w:r>
    </w:p>
    <w:p w14:paraId="0000000F" w14:textId="77777777" w:rsidR="007C10B1"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 xml:space="preserve">5. Los padres participan en los cuatro componentes del modelo de alfabetización familiar </w:t>
      </w:r>
      <w:proofErr w:type="spellStart"/>
      <w:r>
        <w:rPr>
          <w:rFonts w:ascii="Roboto" w:eastAsia="Roboto" w:hAnsi="Roboto" w:cs="Roboto"/>
          <w:color w:val="0D0D0D"/>
          <w:sz w:val="24"/>
          <w:szCs w:val="24"/>
          <w:highlight w:val="white"/>
        </w:rPr>
        <w:t>Even</w:t>
      </w:r>
      <w:proofErr w:type="spellEnd"/>
      <w:r>
        <w:rPr>
          <w:rFonts w:ascii="Roboto" w:eastAsia="Roboto" w:hAnsi="Roboto" w:cs="Roboto"/>
          <w:color w:val="0D0D0D"/>
          <w:sz w:val="24"/>
          <w:szCs w:val="24"/>
          <w:highlight w:val="white"/>
        </w:rPr>
        <w:t xml:space="preserve"> </w:t>
      </w:r>
      <w:proofErr w:type="spellStart"/>
      <w:r>
        <w:rPr>
          <w:rFonts w:ascii="Roboto" w:eastAsia="Roboto" w:hAnsi="Roboto" w:cs="Roboto"/>
          <w:color w:val="0D0D0D"/>
          <w:sz w:val="24"/>
          <w:szCs w:val="24"/>
          <w:highlight w:val="white"/>
        </w:rPr>
        <w:t>Start</w:t>
      </w:r>
      <w:proofErr w:type="spellEnd"/>
      <w:r>
        <w:rPr>
          <w:rFonts w:ascii="Roboto" w:eastAsia="Roboto" w:hAnsi="Roboto" w:cs="Roboto"/>
          <w:color w:val="0D0D0D"/>
          <w:sz w:val="24"/>
          <w:szCs w:val="24"/>
          <w:highlight w:val="white"/>
        </w:rPr>
        <w:t>, participando en actividades de educación para adultos, educación para padres, educación infantil y alfabetización interactiva junto con sus hijos en edad preescolar.</w:t>
      </w:r>
    </w:p>
    <w:p w14:paraId="00000010" w14:textId="77777777" w:rsidR="007C10B1"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 xml:space="preserve">6. La colaboración con Head </w:t>
      </w:r>
      <w:proofErr w:type="spellStart"/>
      <w:r>
        <w:rPr>
          <w:rFonts w:ascii="Roboto" w:eastAsia="Roboto" w:hAnsi="Roboto" w:cs="Roboto"/>
          <w:color w:val="0D0D0D"/>
          <w:sz w:val="24"/>
          <w:szCs w:val="24"/>
          <w:highlight w:val="white"/>
        </w:rPr>
        <w:t>Start</w:t>
      </w:r>
      <w:proofErr w:type="spellEnd"/>
      <w:r>
        <w:rPr>
          <w:rFonts w:ascii="Roboto" w:eastAsia="Roboto" w:hAnsi="Roboto" w:cs="Roboto"/>
          <w:color w:val="0D0D0D"/>
          <w:sz w:val="24"/>
          <w:szCs w:val="24"/>
          <w:highlight w:val="white"/>
        </w:rPr>
        <w:t xml:space="preserve"> incluye proporcionar un edificio para el Capítulo de Rock Hill y organizar el día de transición para los niños que ingresan al jardín de infantes en las escuelas públicas. Se incorpora el día de transición para que los estudiantes se familiaricen con la escuela a la que asistirán.</w:t>
      </w:r>
    </w:p>
    <w:p w14:paraId="00000011" w14:textId="77777777" w:rsidR="007C10B1"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 xml:space="preserve">7. Las escuelas de Rock Hill ofrecen oportunidades de desarrollo personal para Head </w:t>
      </w:r>
      <w:proofErr w:type="spellStart"/>
      <w:r>
        <w:rPr>
          <w:rFonts w:ascii="Roboto" w:eastAsia="Roboto" w:hAnsi="Roboto" w:cs="Roboto"/>
          <w:color w:val="0D0D0D"/>
          <w:sz w:val="24"/>
          <w:szCs w:val="24"/>
          <w:highlight w:val="white"/>
        </w:rPr>
        <w:t>Start</w:t>
      </w:r>
      <w:proofErr w:type="spellEnd"/>
      <w:r>
        <w:rPr>
          <w:rFonts w:ascii="Roboto" w:eastAsia="Roboto" w:hAnsi="Roboto" w:cs="Roboto"/>
          <w:color w:val="0D0D0D"/>
          <w:sz w:val="24"/>
          <w:szCs w:val="24"/>
          <w:highlight w:val="white"/>
        </w:rPr>
        <w:t>, otras escuelas privadas y guarderías en Rock Hill y áreas vecinas.</w:t>
      </w:r>
    </w:p>
    <w:p w14:paraId="00000012" w14:textId="77777777" w:rsidR="007C10B1" w:rsidRDefault="007C10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color w:val="0D0D0D"/>
          <w:sz w:val="24"/>
          <w:szCs w:val="24"/>
          <w:highlight w:val="white"/>
        </w:rPr>
      </w:pPr>
    </w:p>
    <w:p w14:paraId="00000013" w14:textId="77777777" w:rsidR="007C10B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color w:val="0D0D0D"/>
          <w:sz w:val="24"/>
          <w:szCs w:val="24"/>
          <w:highlight w:val="white"/>
        </w:rPr>
      </w:pPr>
      <w:r>
        <w:rPr>
          <w:rFonts w:ascii="Roboto" w:eastAsia="Roboto" w:hAnsi="Roboto" w:cs="Roboto"/>
          <w:color w:val="0D0D0D"/>
          <w:sz w:val="24"/>
          <w:szCs w:val="24"/>
          <w:highlight w:val="white"/>
        </w:rPr>
        <w:t xml:space="preserve">Las escuelas de Rock Hill, con la participación de los padres y las familias, evaluarán anualmente el contenido y la eficacia de la política de participación de los padres y las familias para mejorar la calidad de las escuelas del Título I, Parte A. Esta evaluación incluirá una encuesta distribuida al final del año escolar, con versiones traducidas disponibles para los estudiantes de inglés y padres educadores que ofrecerán asistencia según sea necesario. El distrito brinda </w:t>
      </w:r>
      <w:r>
        <w:rPr>
          <w:rFonts w:ascii="Roboto" w:eastAsia="Roboto" w:hAnsi="Roboto" w:cs="Roboto"/>
          <w:color w:val="0D0D0D"/>
          <w:sz w:val="24"/>
          <w:szCs w:val="24"/>
          <w:highlight w:val="white"/>
        </w:rPr>
        <w:lastRenderedPageBreak/>
        <w:t>servicios bilingües y participa activamente con la comunidad del Título I para garantizar la accesibilidad.</w:t>
      </w:r>
    </w:p>
    <w:p w14:paraId="00000014" w14:textId="77777777" w:rsidR="007C10B1"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ind w:left="720"/>
        <w:rPr>
          <w:rFonts w:ascii="Roboto" w:eastAsia="Roboto" w:hAnsi="Roboto" w:cs="Roboto"/>
          <w:color w:val="0D0D0D"/>
          <w:sz w:val="24"/>
          <w:szCs w:val="24"/>
          <w:highlight w:val="white"/>
        </w:rPr>
      </w:pPr>
      <w:r>
        <w:rPr>
          <w:rFonts w:ascii="Roboto" w:eastAsia="Roboto" w:hAnsi="Roboto" w:cs="Roboto"/>
          <w:color w:val="0D0D0D"/>
          <w:sz w:val="24"/>
          <w:szCs w:val="24"/>
          <w:highlight w:val="white"/>
        </w:rPr>
        <w:t>Las escuelas recopilan estos datos y devuelven los resultados a la oficina del distrito para su análisis. Los hallazgos se comparten con los padres y las familias durante reuniones abiertas al comienzo del año escolar. Siempre se buscan y valoran comentarios y sugerencias de revisiones de los padres y las familias, ya que son esenciales para la operación del programa Título I del distrito.</w:t>
      </w:r>
    </w:p>
    <w:p w14:paraId="00000015" w14:textId="77777777" w:rsidR="007C10B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Roboto" w:eastAsia="Roboto" w:hAnsi="Roboto" w:cs="Roboto"/>
          <w:color w:val="0D0D0D"/>
          <w:sz w:val="24"/>
          <w:szCs w:val="24"/>
          <w:highlight w:val="white"/>
        </w:rPr>
      </w:pPr>
      <w:r>
        <w:rPr>
          <w:rFonts w:ascii="Roboto" w:eastAsia="Roboto" w:hAnsi="Roboto" w:cs="Roboto"/>
          <w:color w:val="0D0D0D"/>
          <w:sz w:val="24"/>
          <w:szCs w:val="24"/>
          <w:highlight w:val="white"/>
        </w:rPr>
        <w:t>Las Escuelas de Rock Hill involucrarán a los padres y las familias en el proceso de revisión y mejora de la escuela según la sección 1116 de la ESSA mediante:</w:t>
      </w:r>
    </w:p>
    <w:p w14:paraId="00000016" w14:textId="77777777" w:rsidR="007C10B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1. Notificar a los padres y a la comunidad sobre el progreso anual adecuado del distrito y las escuelas a través de varios canales, como reuniones del Equipo de Planificación Escolar y del Consejo de Mejoramiento Escolar, publicaciones en sitios web, periódicos, boletines escolares y boletas de calificaciones.</w:t>
      </w:r>
    </w:p>
    <w:p w14:paraId="00000017" w14:textId="77777777" w:rsidR="007C10B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2. Realizar reuniones y conferencias para todos los niveles de grado para explicar los resultados de los exámenes y compartir datos.</w:t>
      </w:r>
    </w:p>
    <w:p w14:paraId="00000018" w14:textId="77777777" w:rsidR="007C10B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3. Publicar el estado de las escuelas en mejora y realizar reuniones para explicar más y recopilar aportes y recomendaciones de los padres y familias para mejorar. Las notificaciones se enviarán a través de boletines escolares y el servicio telefónico del distrito.</w:t>
      </w:r>
    </w:p>
    <w:p w14:paraId="00000019" w14:textId="77777777" w:rsidR="007C10B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4. Alentar a los padres y las familias a participar activamente en la educación de sus hijos como voluntarios en actividades escolares como Noches de alfabetización familiar y matemáticas, o talleres matutinos.</w:t>
      </w:r>
    </w:p>
    <w:p w14:paraId="0000001A" w14:textId="77777777" w:rsidR="007C10B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 xml:space="preserve">5. Ofrecer formas alternativas para que los padres o familiares que no pueden asistir a eventos nocturnos contribuyan, como ayudar con ferias del libro, participar en programas de tutoría, asistir a reuniones del PTO, reuniones del </w:t>
      </w:r>
      <w:r>
        <w:rPr>
          <w:rFonts w:ascii="Roboto" w:eastAsia="Roboto" w:hAnsi="Roboto" w:cs="Roboto"/>
          <w:color w:val="0D0D0D"/>
          <w:sz w:val="24"/>
          <w:szCs w:val="24"/>
          <w:highlight w:val="white"/>
        </w:rPr>
        <w:lastRenderedPageBreak/>
        <w:t xml:space="preserve">consejo de SIC, reuniones y eventos de Título I, y comunicarse regularmente con </w:t>
      </w:r>
      <w:proofErr w:type="gramStart"/>
      <w:r>
        <w:rPr>
          <w:rFonts w:ascii="Roboto" w:eastAsia="Roboto" w:hAnsi="Roboto" w:cs="Roboto"/>
          <w:color w:val="0D0D0D"/>
          <w:sz w:val="24"/>
          <w:szCs w:val="24"/>
          <w:highlight w:val="white"/>
        </w:rPr>
        <w:t>sus maestro</w:t>
      </w:r>
      <w:proofErr w:type="gramEnd"/>
      <w:r>
        <w:rPr>
          <w:rFonts w:ascii="Roboto" w:eastAsia="Roboto" w:hAnsi="Roboto" w:cs="Roboto"/>
          <w:color w:val="0D0D0D"/>
          <w:sz w:val="24"/>
          <w:szCs w:val="24"/>
          <w:highlight w:val="white"/>
        </w:rPr>
        <w:t xml:space="preserve"> de su niño a través de carpetas semanales, llamadas telefónicas, correos electrónicos o conferencias.</w:t>
      </w:r>
    </w:p>
    <w:p w14:paraId="0000001B" w14:textId="77777777" w:rsidR="007C10B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color w:val="0D0D0D"/>
          <w:sz w:val="24"/>
          <w:szCs w:val="24"/>
          <w:highlight w:val="white"/>
        </w:rPr>
      </w:pPr>
      <w:r>
        <w:rPr>
          <w:rFonts w:ascii="Roboto" w:eastAsia="Roboto" w:hAnsi="Roboto" w:cs="Roboto"/>
          <w:color w:val="0D0D0D"/>
          <w:sz w:val="24"/>
          <w:szCs w:val="24"/>
          <w:highlight w:val="white"/>
        </w:rPr>
        <w:t>6. Fomentar la participación en encuestas para recopilar comentarios sobre cómo la escuela puede satisfacer mejor las necesidades de su hijo. El uso de múltiples métodos de comunicación (digital, impreso y personal) para llegar a los padres y las familias mejora la eficacia de la comunicación.</w:t>
      </w:r>
    </w:p>
    <w:sectPr w:rsidR="007C10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4F91D873-9AE7-4AE2-8F55-97116D3C3197}"/>
    <w:embedBold r:id="rId2" w:fontKey="{2F83DCFB-D4A8-434F-BC60-EBF70EBA9B9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21B4B48-6932-44BE-BD37-6AE3EADE6155}"/>
  </w:font>
  <w:font w:name="Cambria">
    <w:panose1 w:val="02040503050406030204"/>
    <w:charset w:val="00"/>
    <w:family w:val="roman"/>
    <w:pitch w:val="variable"/>
    <w:sig w:usb0="E00006FF" w:usb1="420024FF" w:usb2="02000000" w:usb3="00000000" w:csb0="0000019F" w:csb1="00000000"/>
    <w:embedRegular r:id="rId4" w:fontKey="{705DF292-4C59-4193-A7D5-FBB4E6D6BF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07375D"/>
    <w:multiLevelType w:val="multilevel"/>
    <w:tmpl w:val="435475C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4211FA"/>
    <w:multiLevelType w:val="multilevel"/>
    <w:tmpl w:val="D27C765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8F7B92"/>
    <w:multiLevelType w:val="multilevel"/>
    <w:tmpl w:val="BA284834"/>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875377">
    <w:abstractNumId w:val="2"/>
  </w:num>
  <w:num w:numId="2" w16cid:durableId="971978517">
    <w:abstractNumId w:val="1"/>
  </w:num>
  <w:num w:numId="3" w16cid:durableId="722564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B1"/>
    <w:rsid w:val="0032280F"/>
    <w:rsid w:val="007C10B1"/>
    <w:rsid w:val="00A84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56CDC-0470-4C08-9B02-5BC9EA6F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1121</Words>
  <Characters>6396</Characters>
  <Application>Microsoft Office Word</Application>
  <DocSecurity>0</DocSecurity>
  <Lines>53</Lines>
  <Paragraphs>15</Paragraphs>
  <ScaleCrop>false</ScaleCrop>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Jackson</cp:lastModifiedBy>
  <cp:revision>2</cp:revision>
  <dcterms:created xsi:type="dcterms:W3CDTF">2024-11-12T15:05:00Z</dcterms:created>
  <dcterms:modified xsi:type="dcterms:W3CDTF">2024-11-12T15:05:00Z</dcterms:modified>
</cp:coreProperties>
</file>