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6A2" w:rsidRDefault="00A616A2">
      <w:pPr>
        <w:widowControl w:val="0"/>
        <w:pBdr>
          <w:top w:val="nil"/>
          <w:left w:val="nil"/>
          <w:bottom w:val="nil"/>
          <w:right w:val="nil"/>
          <w:between w:val="nil"/>
        </w:pBdr>
        <w:spacing w:after="0"/>
        <w:rPr>
          <w:rFonts w:ascii="Arial" w:eastAsia="Arial" w:hAnsi="Arial" w:cs="Arial"/>
          <w:color w:val="000000"/>
          <w:sz w:val="22"/>
          <w:szCs w:val="22"/>
        </w:rPr>
      </w:pPr>
    </w:p>
    <w:p w:rsidR="00A616A2" w:rsidRDefault="00361031">
      <w:pPr>
        <w:widowControl w:val="0"/>
        <w:pBdr>
          <w:top w:val="nil"/>
          <w:left w:val="nil"/>
          <w:bottom w:val="nil"/>
          <w:right w:val="nil"/>
          <w:between w:val="nil"/>
        </w:pBdr>
        <w:spacing w:after="0"/>
        <w:jc w:val="center"/>
        <w:rPr>
          <w:b/>
          <w:color w:val="000000"/>
          <w:sz w:val="32"/>
          <w:szCs w:val="32"/>
        </w:rPr>
      </w:pPr>
      <w:r>
        <w:rPr>
          <w:b/>
          <w:color w:val="000000"/>
          <w:sz w:val="32"/>
          <w:szCs w:val="32"/>
        </w:rPr>
        <w:t>ADMINISTRATIVE COMPENSATION PLAN</w:t>
      </w:r>
    </w:p>
    <w:p w:rsidR="00A616A2" w:rsidRDefault="00C27622" w:rsidP="00C27622">
      <w:pPr>
        <w:widowControl w:val="0"/>
        <w:pBdr>
          <w:top w:val="nil"/>
          <w:left w:val="nil"/>
          <w:bottom w:val="nil"/>
          <w:right w:val="nil"/>
          <w:between w:val="nil"/>
        </w:pBdr>
        <w:spacing w:after="0"/>
        <w:jc w:val="center"/>
        <w:rPr>
          <w:rFonts w:ascii="Arial" w:eastAsia="Arial" w:hAnsi="Arial" w:cs="Arial"/>
          <w:color w:val="000000"/>
          <w:sz w:val="22"/>
          <w:szCs w:val="22"/>
        </w:rPr>
      </w:pPr>
      <w:r>
        <w:rPr>
          <w:b/>
          <w:color w:val="000000"/>
        </w:rPr>
        <w:t>(INITIAL PLACEMENT)</w:t>
      </w:r>
      <w:bookmarkStart w:id="0" w:name="_heading=h.1fob9te" w:colFirst="0" w:colLast="0"/>
      <w:bookmarkStart w:id="1" w:name="_GoBack"/>
      <w:bookmarkEnd w:id="0"/>
      <w:bookmarkEnd w:id="1"/>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8"/>
        <w:gridCol w:w="5519"/>
        <w:gridCol w:w="1513"/>
        <w:gridCol w:w="1600"/>
      </w:tblGrid>
      <w:tr w:rsidR="00A616A2">
        <w:tc>
          <w:tcPr>
            <w:tcW w:w="718" w:type="dxa"/>
          </w:tcPr>
          <w:p w:rsidR="00A616A2" w:rsidRDefault="00A616A2">
            <w:pPr>
              <w:jc w:val="center"/>
              <w:rPr>
                <w:sz w:val="32"/>
                <w:szCs w:val="32"/>
              </w:rPr>
            </w:pPr>
          </w:p>
        </w:tc>
        <w:tc>
          <w:tcPr>
            <w:tcW w:w="5519" w:type="dxa"/>
          </w:tcPr>
          <w:p w:rsidR="00A616A2" w:rsidRDefault="00A616A2">
            <w:pPr>
              <w:jc w:val="center"/>
              <w:rPr>
                <w:b/>
              </w:rPr>
            </w:pPr>
          </w:p>
        </w:tc>
        <w:tc>
          <w:tcPr>
            <w:tcW w:w="1513" w:type="dxa"/>
          </w:tcPr>
          <w:p w:rsidR="00A616A2" w:rsidRDefault="00361031">
            <w:pPr>
              <w:jc w:val="center"/>
              <w:rPr>
                <w:b/>
              </w:rPr>
            </w:pPr>
            <w:r>
              <w:rPr>
                <w:b/>
              </w:rPr>
              <w:t>Minimum</w:t>
            </w:r>
          </w:p>
        </w:tc>
        <w:tc>
          <w:tcPr>
            <w:tcW w:w="1600" w:type="dxa"/>
          </w:tcPr>
          <w:p w:rsidR="00A616A2" w:rsidRDefault="00361031">
            <w:pPr>
              <w:jc w:val="center"/>
              <w:rPr>
                <w:b/>
              </w:rPr>
            </w:pPr>
            <w:r>
              <w:rPr>
                <w:b/>
              </w:rPr>
              <w:t>Maximum</w:t>
            </w:r>
          </w:p>
        </w:tc>
      </w:tr>
      <w:tr w:rsidR="00A616A2">
        <w:tc>
          <w:tcPr>
            <w:tcW w:w="718" w:type="dxa"/>
          </w:tcPr>
          <w:p w:rsidR="00A616A2" w:rsidRDefault="00361031">
            <w:pPr>
              <w:jc w:val="center"/>
            </w:pPr>
            <w:r>
              <w:t>A</w:t>
            </w:r>
          </w:p>
        </w:tc>
        <w:tc>
          <w:tcPr>
            <w:tcW w:w="5519" w:type="dxa"/>
          </w:tcPr>
          <w:p w:rsidR="00A616A2" w:rsidRDefault="00361031">
            <w:bookmarkStart w:id="2" w:name="_heading=h.30j0zll" w:colFirst="0" w:colLast="0"/>
            <w:bookmarkEnd w:id="2"/>
            <w:r>
              <w:t xml:space="preserve">Assistant Superintendent of Academic Services, Assistant Superintendent of Administrative Services, Assistant Superintendent of Human Resources, Chief Financial Officer (CFO) </w:t>
            </w:r>
          </w:p>
        </w:tc>
        <w:tc>
          <w:tcPr>
            <w:tcW w:w="1513" w:type="dxa"/>
          </w:tcPr>
          <w:p w:rsidR="00A616A2" w:rsidRDefault="00361031">
            <w:pPr>
              <w:jc w:val="center"/>
            </w:pPr>
            <w:r>
              <w:t>$131, 000</w:t>
            </w:r>
          </w:p>
        </w:tc>
        <w:tc>
          <w:tcPr>
            <w:tcW w:w="1600" w:type="dxa"/>
          </w:tcPr>
          <w:p w:rsidR="00A616A2" w:rsidRDefault="00361031">
            <w:pPr>
              <w:jc w:val="center"/>
            </w:pPr>
            <w:r>
              <w:t>$157,000</w:t>
            </w:r>
          </w:p>
        </w:tc>
      </w:tr>
      <w:tr w:rsidR="00A616A2">
        <w:tc>
          <w:tcPr>
            <w:tcW w:w="718" w:type="dxa"/>
          </w:tcPr>
          <w:p w:rsidR="00A616A2" w:rsidRDefault="00361031">
            <w:pPr>
              <w:jc w:val="center"/>
            </w:pPr>
            <w:r>
              <w:t>B</w:t>
            </w:r>
          </w:p>
        </w:tc>
        <w:tc>
          <w:tcPr>
            <w:tcW w:w="5519" w:type="dxa"/>
          </w:tcPr>
          <w:p w:rsidR="00A616A2" w:rsidRDefault="00361031">
            <w:r>
              <w:t xml:space="preserve">Director - Exceptional Student Services, Curriculum &amp; Instruction, Elementary and Early Childhood Curriculum, Technology, Business Services, Athletics Activities and Access </w:t>
            </w:r>
          </w:p>
          <w:p w:rsidR="00A616A2" w:rsidRDefault="00A616A2"/>
          <w:p w:rsidR="00A616A2" w:rsidRDefault="00361031">
            <w:pPr>
              <w:rPr>
                <w:b/>
              </w:rPr>
            </w:pPr>
            <w:r>
              <w:t>High School Principal</w:t>
            </w:r>
          </w:p>
        </w:tc>
        <w:tc>
          <w:tcPr>
            <w:tcW w:w="1513" w:type="dxa"/>
          </w:tcPr>
          <w:p w:rsidR="00A616A2" w:rsidRDefault="00361031">
            <w:pPr>
              <w:jc w:val="center"/>
              <w:rPr>
                <w:b/>
              </w:rPr>
            </w:pPr>
            <w:r>
              <w:t>$115,000</w:t>
            </w:r>
          </w:p>
        </w:tc>
        <w:tc>
          <w:tcPr>
            <w:tcW w:w="1600" w:type="dxa"/>
          </w:tcPr>
          <w:p w:rsidR="00A616A2" w:rsidRDefault="00361031">
            <w:pPr>
              <w:jc w:val="center"/>
              <w:rPr>
                <w:b/>
              </w:rPr>
            </w:pPr>
            <w:r>
              <w:t>$138,000</w:t>
            </w:r>
          </w:p>
        </w:tc>
      </w:tr>
      <w:tr w:rsidR="00A616A2">
        <w:tc>
          <w:tcPr>
            <w:tcW w:w="718" w:type="dxa"/>
          </w:tcPr>
          <w:p w:rsidR="00A616A2" w:rsidRDefault="00361031">
            <w:pPr>
              <w:jc w:val="center"/>
            </w:pPr>
            <w:r>
              <w:t>C</w:t>
            </w:r>
          </w:p>
        </w:tc>
        <w:tc>
          <w:tcPr>
            <w:tcW w:w="5519" w:type="dxa"/>
          </w:tcPr>
          <w:p w:rsidR="00A616A2" w:rsidRDefault="00361031">
            <w:r>
              <w:t>Director – Data and Assessment, Commun</w:t>
            </w:r>
            <w:r>
              <w:t>ications, Talent Development and Retention</w:t>
            </w:r>
          </w:p>
          <w:p w:rsidR="00A616A2" w:rsidRDefault="00A616A2"/>
          <w:p w:rsidR="00A616A2" w:rsidRDefault="00361031">
            <w:r>
              <w:t xml:space="preserve">Middle School Principal, Elementary Principal </w:t>
            </w:r>
          </w:p>
        </w:tc>
        <w:tc>
          <w:tcPr>
            <w:tcW w:w="1513" w:type="dxa"/>
          </w:tcPr>
          <w:p w:rsidR="00A616A2" w:rsidRDefault="00361031">
            <w:pPr>
              <w:jc w:val="center"/>
            </w:pPr>
            <w:r>
              <w:t>$104,000</w:t>
            </w:r>
          </w:p>
        </w:tc>
        <w:tc>
          <w:tcPr>
            <w:tcW w:w="1600" w:type="dxa"/>
          </w:tcPr>
          <w:p w:rsidR="00A616A2" w:rsidRDefault="00361031">
            <w:pPr>
              <w:jc w:val="center"/>
            </w:pPr>
            <w:r>
              <w:t>$125,000</w:t>
            </w:r>
          </w:p>
        </w:tc>
      </w:tr>
      <w:tr w:rsidR="00A616A2">
        <w:tc>
          <w:tcPr>
            <w:tcW w:w="718" w:type="dxa"/>
          </w:tcPr>
          <w:p w:rsidR="00A616A2" w:rsidRDefault="00361031">
            <w:pPr>
              <w:jc w:val="center"/>
            </w:pPr>
            <w:r>
              <w:t>D</w:t>
            </w:r>
          </w:p>
        </w:tc>
        <w:tc>
          <w:tcPr>
            <w:tcW w:w="5519" w:type="dxa"/>
          </w:tcPr>
          <w:p w:rsidR="00A616A2" w:rsidRDefault="00361031">
            <w:r>
              <w:t xml:space="preserve">Director – </w:t>
            </w:r>
            <w:r>
              <w:rPr>
                <w:rFonts w:ascii="Times New Roman" w:eastAsia="Times New Roman" w:hAnsi="Times New Roman" w:cs="Times New Roman"/>
                <w:color w:val="222222"/>
                <w:highlight w:val="white"/>
              </w:rPr>
              <w:t>Director of Academic and Federal Programs</w:t>
            </w:r>
            <w:r>
              <w:t>, Child Nutrition Services, Transportation, Facilities and Operations, Finance</w:t>
            </w:r>
          </w:p>
          <w:p w:rsidR="00A616A2" w:rsidRDefault="00A616A2"/>
          <w:p w:rsidR="00A616A2" w:rsidRDefault="00361031">
            <w:bookmarkStart w:id="3" w:name="_heading=h.gjdgxs" w:colFirst="0" w:colLast="0"/>
            <w:bookmarkEnd w:id="3"/>
            <w:r>
              <w:t>High School &amp; Middle School Assistant Principals</w:t>
            </w:r>
          </w:p>
        </w:tc>
        <w:tc>
          <w:tcPr>
            <w:tcW w:w="1513" w:type="dxa"/>
          </w:tcPr>
          <w:p w:rsidR="00A616A2" w:rsidRDefault="00361031">
            <w:pPr>
              <w:jc w:val="center"/>
            </w:pPr>
            <w:r>
              <w:t>$87,000</w:t>
            </w:r>
          </w:p>
        </w:tc>
        <w:tc>
          <w:tcPr>
            <w:tcW w:w="1600" w:type="dxa"/>
          </w:tcPr>
          <w:p w:rsidR="00A616A2" w:rsidRDefault="00361031">
            <w:pPr>
              <w:jc w:val="center"/>
            </w:pPr>
            <w:r>
              <w:t>$104,000</w:t>
            </w:r>
          </w:p>
        </w:tc>
      </w:tr>
      <w:tr w:rsidR="00A616A2">
        <w:tc>
          <w:tcPr>
            <w:tcW w:w="718" w:type="dxa"/>
          </w:tcPr>
          <w:p w:rsidR="00A616A2" w:rsidRDefault="00361031">
            <w:pPr>
              <w:jc w:val="center"/>
            </w:pPr>
            <w:r>
              <w:t>E</w:t>
            </w:r>
          </w:p>
        </w:tc>
        <w:tc>
          <w:tcPr>
            <w:tcW w:w="5519" w:type="dxa"/>
          </w:tcPr>
          <w:p w:rsidR="00A616A2" w:rsidRDefault="00361031">
            <w:r>
              <w:t>Coordinator – Purchasing, Educational Technology, Network, Technology (Project Coordinator), Maintenance &amp; Grounds, Grants &amp; Federal Programs, Payroll, Certified Staff, Classified Staff &amp;</w:t>
            </w:r>
            <w:r>
              <w:t xml:space="preserve"> Grow Your Own, Literacy Initiatives</w:t>
            </w:r>
          </w:p>
          <w:p w:rsidR="00A616A2" w:rsidRDefault="00A616A2"/>
          <w:p w:rsidR="00A616A2" w:rsidRDefault="00361031">
            <w:r>
              <w:t>Dean of Students</w:t>
            </w:r>
          </w:p>
        </w:tc>
        <w:tc>
          <w:tcPr>
            <w:tcW w:w="1513" w:type="dxa"/>
          </w:tcPr>
          <w:p w:rsidR="00A616A2" w:rsidRDefault="00361031">
            <w:pPr>
              <w:jc w:val="center"/>
            </w:pPr>
            <w:r>
              <w:t>$76,000</w:t>
            </w:r>
          </w:p>
        </w:tc>
        <w:tc>
          <w:tcPr>
            <w:tcW w:w="1600" w:type="dxa"/>
          </w:tcPr>
          <w:p w:rsidR="00A616A2" w:rsidRDefault="00361031">
            <w:pPr>
              <w:jc w:val="center"/>
            </w:pPr>
            <w:r>
              <w:t>$91,000</w:t>
            </w:r>
          </w:p>
        </w:tc>
      </w:tr>
    </w:tbl>
    <w:p w:rsidR="00A616A2" w:rsidRDefault="00A616A2">
      <w:pPr>
        <w:rPr>
          <w:b/>
        </w:rPr>
      </w:pPr>
    </w:p>
    <w:p w:rsidR="00A616A2" w:rsidRDefault="00361031">
      <w:r>
        <w:rPr>
          <w:b/>
        </w:rPr>
        <w:t>Note:  The maximum annual entry salary amount is 20% higher than the minimum annual salary amount</w:t>
      </w:r>
      <w:r>
        <w:t xml:space="preserve">.  </w:t>
      </w:r>
    </w:p>
    <w:p w:rsidR="00A616A2" w:rsidRDefault="00361031">
      <w:pPr>
        <w:pBdr>
          <w:top w:val="nil"/>
          <w:left w:val="nil"/>
          <w:bottom w:val="nil"/>
          <w:right w:val="nil"/>
          <w:between w:val="nil"/>
        </w:pBdr>
        <w:tabs>
          <w:tab w:val="center" w:pos="4680"/>
          <w:tab w:val="right" w:pos="9360"/>
        </w:tabs>
        <w:spacing w:after="0" w:line="240" w:lineRule="auto"/>
        <w:rPr>
          <w:color w:val="000000"/>
          <w:u w:val="single"/>
        </w:rPr>
      </w:pPr>
      <w:r>
        <w:rPr>
          <w:color w:val="000000"/>
          <w:u w:val="single"/>
        </w:rPr>
        <w:t>ADDITIONAL INFORMATION</w:t>
      </w:r>
    </w:p>
    <w:p w:rsidR="00A616A2" w:rsidRDefault="00361031">
      <w:pPr>
        <w:numPr>
          <w:ilvl w:val="0"/>
          <w:numId w:val="3"/>
        </w:numPr>
        <w:pBdr>
          <w:top w:val="nil"/>
          <w:left w:val="nil"/>
          <w:bottom w:val="nil"/>
          <w:right w:val="nil"/>
          <w:between w:val="nil"/>
        </w:pBdr>
        <w:spacing w:after="0" w:line="240" w:lineRule="auto"/>
        <w:rPr>
          <w:color w:val="000000"/>
          <w:u w:val="single"/>
        </w:rPr>
      </w:pPr>
      <w:r>
        <w:rPr>
          <w:color w:val="000000"/>
          <w:u w:val="single"/>
        </w:rPr>
        <w:t>Salary and benefits are prorated based on the hire date and less than full-time equivalent (FTE) employment.</w:t>
      </w:r>
    </w:p>
    <w:p w:rsidR="00A616A2" w:rsidRDefault="00361031">
      <w:pPr>
        <w:numPr>
          <w:ilvl w:val="0"/>
          <w:numId w:val="3"/>
        </w:numPr>
        <w:pBdr>
          <w:top w:val="nil"/>
          <w:left w:val="nil"/>
          <w:bottom w:val="nil"/>
          <w:right w:val="nil"/>
          <w:between w:val="nil"/>
        </w:pBdr>
        <w:tabs>
          <w:tab w:val="center" w:pos="4680"/>
          <w:tab w:val="right" w:pos="9360"/>
        </w:tabs>
        <w:spacing w:after="0" w:line="240" w:lineRule="auto"/>
        <w:rPr>
          <w:color w:val="000000"/>
          <w:u w:val="single"/>
        </w:rPr>
      </w:pPr>
      <w:r>
        <w:rPr>
          <w:color w:val="000000"/>
          <w:u w:val="single"/>
        </w:rPr>
        <w:t>Salaries are based on 261 days and a 12-month work calendar</w:t>
      </w:r>
    </w:p>
    <w:p w:rsidR="00A616A2" w:rsidRDefault="00361031">
      <w:pPr>
        <w:numPr>
          <w:ilvl w:val="0"/>
          <w:numId w:val="3"/>
        </w:numPr>
        <w:pBdr>
          <w:top w:val="nil"/>
          <w:left w:val="nil"/>
          <w:bottom w:val="nil"/>
          <w:right w:val="nil"/>
          <w:between w:val="nil"/>
        </w:pBdr>
        <w:tabs>
          <w:tab w:val="center" w:pos="4680"/>
          <w:tab w:val="right" w:pos="9360"/>
        </w:tabs>
        <w:spacing w:after="0" w:line="240" w:lineRule="auto"/>
        <w:rPr>
          <w:color w:val="000000"/>
        </w:rPr>
      </w:pPr>
      <w:r>
        <w:rPr>
          <w:color w:val="000000"/>
        </w:rPr>
        <w:t>Administrators who hold a doctorate will earn extra compensation of $2,600 annually.</w:t>
      </w:r>
    </w:p>
    <w:p w:rsidR="00A616A2" w:rsidRDefault="00A616A2">
      <w:pPr>
        <w:pBdr>
          <w:top w:val="nil"/>
          <w:left w:val="nil"/>
          <w:bottom w:val="nil"/>
          <w:right w:val="nil"/>
          <w:between w:val="nil"/>
        </w:pBdr>
        <w:tabs>
          <w:tab w:val="center" w:pos="4680"/>
          <w:tab w:val="right" w:pos="9360"/>
        </w:tabs>
        <w:spacing w:after="0" w:line="240" w:lineRule="auto"/>
        <w:rPr>
          <w:color w:val="000000"/>
        </w:rPr>
      </w:pPr>
    </w:p>
    <w:p w:rsidR="00A616A2" w:rsidRDefault="00A616A2">
      <w:pPr>
        <w:pBdr>
          <w:top w:val="nil"/>
          <w:left w:val="nil"/>
          <w:bottom w:val="nil"/>
          <w:right w:val="nil"/>
          <w:between w:val="nil"/>
        </w:pBdr>
        <w:tabs>
          <w:tab w:val="center" w:pos="4680"/>
          <w:tab w:val="right" w:pos="9360"/>
        </w:tabs>
        <w:spacing w:after="0" w:line="240" w:lineRule="auto"/>
        <w:rPr>
          <w:color w:val="000000"/>
        </w:rPr>
      </w:pPr>
    </w:p>
    <w:p w:rsidR="00A616A2" w:rsidRDefault="00A616A2">
      <w:pPr>
        <w:pBdr>
          <w:top w:val="nil"/>
          <w:left w:val="nil"/>
          <w:bottom w:val="nil"/>
          <w:right w:val="nil"/>
          <w:between w:val="nil"/>
        </w:pBdr>
        <w:tabs>
          <w:tab w:val="center" w:pos="4680"/>
          <w:tab w:val="right" w:pos="9360"/>
        </w:tabs>
        <w:spacing w:after="0" w:line="240" w:lineRule="auto"/>
        <w:rPr>
          <w:color w:val="000000"/>
        </w:rPr>
      </w:pPr>
      <w:bookmarkStart w:id="4" w:name="_heading=h.3dy6vkm" w:colFirst="0" w:colLast="0"/>
      <w:bookmarkEnd w:id="4"/>
    </w:p>
    <w:p w:rsidR="00A616A2" w:rsidRDefault="00361031">
      <w:pPr>
        <w:pBdr>
          <w:top w:val="nil"/>
          <w:left w:val="nil"/>
          <w:bottom w:val="nil"/>
          <w:right w:val="nil"/>
          <w:between w:val="nil"/>
        </w:pBdr>
        <w:spacing w:before="280" w:after="0" w:line="240" w:lineRule="auto"/>
        <w:jc w:val="both"/>
        <w:rPr>
          <w:b/>
          <w:color w:val="000000"/>
        </w:rPr>
      </w:pPr>
      <w:bookmarkStart w:id="5" w:name="_heading=h.tyjcwt" w:colFirst="0" w:colLast="0"/>
      <w:bookmarkEnd w:id="5"/>
      <w:r>
        <w:rPr>
          <w:b/>
          <w:color w:val="000000"/>
        </w:rPr>
        <w:lastRenderedPageBreak/>
        <w:t xml:space="preserve">Retirement Incentive Program </w:t>
      </w:r>
    </w:p>
    <w:p w:rsidR="00A616A2" w:rsidRDefault="00361031">
      <w:pPr>
        <w:numPr>
          <w:ilvl w:val="0"/>
          <w:numId w:val="4"/>
        </w:numPr>
        <w:pBdr>
          <w:top w:val="nil"/>
          <w:left w:val="nil"/>
          <w:bottom w:val="nil"/>
          <w:right w:val="nil"/>
          <w:between w:val="nil"/>
        </w:pBdr>
        <w:spacing w:after="0" w:line="240" w:lineRule="auto"/>
        <w:ind w:left="360"/>
        <w:rPr>
          <w:color w:val="000000"/>
        </w:rPr>
      </w:pPr>
      <w:r>
        <w:rPr>
          <w:color w:val="000000"/>
        </w:rPr>
        <w:t>The retirement incentive program is intended to provide a school employee with the opportunity to receive an incremental increase in salary during the final year of employment. Such payment must be offered and accepted in the employment contract prior to t</w:t>
      </w:r>
      <w:r>
        <w:rPr>
          <w:color w:val="000000"/>
        </w:rPr>
        <w:t>he beginning of the particular school year in which the retirement incentive pay is to be received.</w:t>
      </w:r>
    </w:p>
    <w:p w:rsidR="00A616A2" w:rsidRDefault="00361031">
      <w:pPr>
        <w:numPr>
          <w:ilvl w:val="0"/>
          <w:numId w:val="4"/>
        </w:numPr>
        <w:pBdr>
          <w:top w:val="nil"/>
          <w:left w:val="nil"/>
          <w:bottom w:val="nil"/>
          <w:right w:val="nil"/>
          <w:between w:val="nil"/>
        </w:pBdr>
        <w:spacing w:after="0" w:line="240" w:lineRule="auto"/>
        <w:ind w:left="360"/>
        <w:rPr>
          <w:color w:val="000000"/>
        </w:rPr>
      </w:pPr>
      <w:r>
        <w:rPr>
          <w:color w:val="000000"/>
        </w:rPr>
        <w:t>The employee must apply to the Governing Board, in writing, for the retirement incentive during or before the year prior to the year in which retirement wil</w:t>
      </w:r>
      <w:r>
        <w:rPr>
          <w:color w:val="000000"/>
        </w:rPr>
        <w:t>l occur.</w:t>
      </w:r>
    </w:p>
    <w:p w:rsidR="00A616A2" w:rsidRDefault="00361031">
      <w:pPr>
        <w:numPr>
          <w:ilvl w:val="0"/>
          <w:numId w:val="4"/>
        </w:numPr>
        <w:pBdr>
          <w:top w:val="nil"/>
          <w:left w:val="nil"/>
          <w:bottom w:val="nil"/>
          <w:right w:val="nil"/>
          <w:between w:val="nil"/>
        </w:pBdr>
        <w:spacing w:after="0" w:line="240" w:lineRule="auto"/>
        <w:ind w:left="360"/>
        <w:rPr>
          <w:color w:val="000000"/>
        </w:rPr>
      </w:pPr>
      <w:r>
        <w:rPr>
          <w:color w:val="000000"/>
        </w:rPr>
        <w:t xml:space="preserve">An employee choosing the retirement incentive shall receive an increase over the regular contractual or scheduled salary in the year before retirement.  The payment will be based upon the number of years of service to the District.          </w:t>
      </w:r>
    </w:p>
    <w:p w:rsidR="00A616A2" w:rsidRDefault="00361031">
      <w:pPr>
        <w:spacing w:after="0" w:line="240" w:lineRule="auto"/>
        <w:ind w:firstLine="360"/>
        <w:rPr>
          <w:color w:val="000000"/>
        </w:rPr>
      </w:pPr>
      <w:r>
        <w:rPr>
          <w:color w:val="000000"/>
        </w:rPr>
        <w:t xml:space="preserve">    N</w:t>
      </w:r>
      <w:r>
        <w:rPr>
          <w:color w:val="000000"/>
        </w:rPr>
        <w:t>umber of years         Percent</w:t>
      </w:r>
      <w:r>
        <w:rPr>
          <w:color w:val="000000"/>
        </w:rPr>
        <w:tab/>
        <w:t xml:space="preserve">   </w:t>
      </w:r>
    </w:p>
    <w:p w:rsidR="00A616A2" w:rsidRDefault="00361031">
      <w:pPr>
        <w:spacing w:after="0" w:line="240" w:lineRule="auto"/>
        <w:rPr>
          <w:color w:val="000000"/>
        </w:rPr>
      </w:pPr>
      <w:r>
        <w:rPr>
          <w:color w:val="000000"/>
        </w:rPr>
        <w:t>          of service to the</w:t>
      </w:r>
      <w:r>
        <w:rPr>
          <w:color w:val="000000"/>
        </w:rPr>
        <w:tab/>
        <w:t xml:space="preserve">         of annual</w:t>
      </w:r>
      <w:r>
        <w:rPr>
          <w:color w:val="000000"/>
        </w:rPr>
        <w:tab/>
        <w:t xml:space="preserve">   </w:t>
      </w:r>
    </w:p>
    <w:p w:rsidR="00A616A2" w:rsidRDefault="00361031">
      <w:pPr>
        <w:spacing w:after="0" w:line="240" w:lineRule="auto"/>
        <w:rPr>
          <w:color w:val="000000"/>
        </w:rPr>
      </w:pPr>
      <w:r>
        <w:rPr>
          <w:color w:val="000000"/>
        </w:rPr>
        <w:t>          School District</w:t>
      </w:r>
      <w:r>
        <w:rPr>
          <w:color w:val="000000"/>
        </w:rPr>
        <w:tab/>
        <w:t xml:space="preserve">         salary</w:t>
      </w:r>
      <w:r>
        <w:rPr>
          <w:color w:val="000000"/>
        </w:rPr>
        <w:tab/>
        <w:t xml:space="preserve">   </w:t>
      </w:r>
    </w:p>
    <w:p w:rsidR="00A616A2" w:rsidRDefault="00361031">
      <w:pPr>
        <w:spacing w:after="0" w:line="240" w:lineRule="auto"/>
        <w:rPr>
          <w:color w:val="000000"/>
        </w:rPr>
      </w:pPr>
      <w:r>
        <w:rPr>
          <w:color w:val="000000"/>
        </w:rPr>
        <w:t xml:space="preserve">                   10                           2%                                         </w:t>
      </w:r>
    </w:p>
    <w:p w:rsidR="00A616A2" w:rsidRDefault="00361031">
      <w:pPr>
        <w:spacing w:after="0" w:line="240" w:lineRule="auto"/>
        <w:ind w:left="720" w:firstLine="450"/>
        <w:rPr>
          <w:color w:val="000000"/>
        </w:rPr>
      </w:pPr>
      <w:r>
        <w:rPr>
          <w:color w:val="000000"/>
        </w:rPr>
        <w:t>11                           3% </w:t>
      </w:r>
      <w:r>
        <w:rPr>
          <w:color w:val="000000"/>
        </w:rPr>
        <w:t xml:space="preserve">                                        </w:t>
      </w:r>
    </w:p>
    <w:p w:rsidR="00A616A2" w:rsidRDefault="00361031">
      <w:pPr>
        <w:spacing w:after="0" w:line="240" w:lineRule="auto"/>
        <w:ind w:left="720" w:firstLine="450"/>
        <w:rPr>
          <w:color w:val="000000"/>
        </w:rPr>
      </w:pPr>
      <w:r>
        <w:rPr>
          <w:color w:val="000000"/>
        </w:rPr>
        <w:t xml:space="preserve">12                           4%                                         </w:t>
      </w:r>
    </w:p>
    <w:p w:rsidR="00A616A2" w:rsidRDefault="00361031">
      <w:pPr>
        <w:spacing w:after="0" w:line="240" w:lineRule="auto"/>
        <w:ind w:left="720" w:firstLine="450"/>
        <w:rPr>
          <w:color w:val="000000"/>
        </w:rPr>
      </w:pPr>
      <w:r>
        <w:rPr>
          <w:color w:val="000000"/>
        </w:rPr>
        <w:t>13                           5%                             </w:t>
      </w:r>
    </w:p>
    <w:p w:rsidR="00A616A2" w:rsidRDefault="00361031">
      <w:pPr>
        <w:spacing w:after="0" w:line="240" w:lineRule="auto"/>
        <w:ind w:left="720" w:firstLine="450"/>
        <w:rPr>
          <w:color w:val="000000"/>
        </w:rPr>
      </w:pPr>
      <w:r>
        <w:rPr>
          <w:color w:val="000000"/>
        </w:rPr>
        <w:t xml:space="preserve">14                           6%                                 </w:t>
      </w:r>
    </w:p>
    <w:p w:rsidR="00A616A2" w:rsidRDefault="00361031">
      <w:pPr>
        <w:spacing w:after="0" w:line="240" w:lineRule="auto"/>
        <w:ind w:left="720" w:firstLine="450"/>
        <w:rPr>
          <w:color w:val="000000"/>
        </w:rPr>
      </w:pPr>
      <w:r>
        <w:rPr>
          <w:color w:val="000000"/>
        </w:rPr>
        <w:t>15                           7%</w:t>
      </w:r>
    </w:p>
    <w:p w:rsidR="00A616A2" w:rsidRDefault="00361031">
      <w:pPr>
        <w:tabs>
          <w:tab w:val="left" w:pos="720"/>
          <w:tab w:val="left" w:pos="1440"/>
          <w:tab w:val="left" w:pos="2160"/>
          <w:tab w:val="left" w:pos="2880"/>
          <w:tab w:val="left" w:pos="7455"/>
        </w:tabs>
        <w:spacing w:after="0" w:line="240" w:lineRule="auto"/>
        <w:ind w:left="3060" w:hanging="1890"/>
        <w:rPr>
          <w:color w:val="000000"/>
        </w:rPr>
      </w:pPr>
      <w:r>
        <w:rPr>
          <w:color w:val="000000"/>
        </w:rPr>
        <w:t xml:space="preserve">16                   </w:t>
      </w:r>
      <w:r>
        <w:rPr>
          <w:color w:val="000000"/>
        </w:rPr>
        <w:tab/>
        <w:t xml:space="preserve">   8% </w:t>
      </w:r>
      <w:r>
        <w:rPr>
          <w:color w:val="000000"/>
        </w:rPr>
        <w:tab/>
      </w:r>
    </w:p>
    <w:p w:rsidR="00A616A2" w:rsidRDefault="00361031">
      <w:pPr>
        <w:spacing w:after="0" w:line="240" w:lineRule="auto"/>
        <w:ind w:left="3060" w:hanging="1890"/>
        <w:rPr>
          <w:color w:val="000000"/>
        </w:rPr>
      </w:pPr>
      <w:r>
        <w:rPr>
          <w:color w:val="000000"/>
        </w:rPr>
        <w:t xml:space="preserve">17                   </w:t>
      </w:r>
      <w:r>
        <w:rPr>
          <w:color w:val="000000"/>
        </w:rPr>
        <w:tab/>
        <w:t>9% </w:t>
      </w:r>
    </w:p>
    <w:p w:rsidR="00A616A2" w:rsidRDefault="00361031">
      <w:pPr>
        <w:spacing w:after="0" w:line="240" w:lineRule="auto"/>
        <w:ind w:left="3060" w:hanging="1890"/>
        <w:rPr>
          <w:color w:val="000000"/>
        </w:rPr>
      </w:pPr>
      <w:r>
        <w:rPr>
          <w:color w:val="000000"/>
        </w:rPr>
        <w:t xml:space="preserve">18                  </w:t>
      </w:r>
      <w:r>
        <w:rPr>
          <w:color w:val="000000"/>
        </w:rPr>
        <w:tab/>
        <w:t>10%</w:t>
      </w:r>
    </w:p>
    <w:p w:rsidR="00A616A2" w:rsidRDefault="00361031">
      <w:pPr>
        <w:spacing w:after="0" w:line="240" w:lineRule="auto"/>
        <w:ind w:left="2970" w:hanging="1800"/>
        <w:rPr>
          <w:color w:val="000000"/>
        </w:rPr>
      </w:pPr>
      <w:r>
        <w:rPr>
          <w:color w:val="000000"/>
        </w:rPr>
        <w:t xml:space="preserve">19                 </w:t>
      </w:r>
      <w:r>
        <w:rPr>
          <w:color w:val="000000"/>
        </w:rPr>
        <w:tab/>
        <w:t xml:space="preserve"> 11%</w:t>
      </w:r>
    </w:p>
    <w:p w:rsidR="00A616A2" w:rsidRDefault="00361031">
      <w:pPr>
        <w:numPr>
          <w:ilvl w:val="0"/>
          <w:numId w:val="2"/>
        </w:numPr>
        <w:pBdr>
          <w:top w:val="nil"/>
          <w:left w:val="nil"/>
          <w:bottom w:val="nil"/>
          <w:right w:val="nil"/>
          <w:between w:val="nil"/>
        </w:pBdr>
        <w:spacing w:after="0" w:line="240" w:lineRule="auto"/>
        <w:rPr>
          <w:color w:val="000000"/>
        </w:rPr>
      </w:pPr>
      <w:r>
        <w:rPr>
          <w:color w:val="000000"/>
        </w:rPr>
        <w:t>and above         12%</w:t>
      </w:r>
    </w:p>
    <w:p w:rsidR="00A616A2" w:rsidRDefault="00A616A2">
      <w:pPr>
        <w:pBdr>
          <w:top w:val="nil"/>
          <w:left w:val="nil"/>
          <w:bottom w:val="nil"/>
          <w:right w:val="nil"/>
          <w:between w:val="nil"/>
        </w:pBdr>
        <w:spacing w:after="0" w:line="240" w:lineRule="auto"/>
        <w:ind w:left="1530" w:hanging="720"/>
        <w:rPr>
          <w:color w:val="000000"/>
        </w:rPr>
      </w:pPr>
    </w:p>
    <w:p w:rsidR="00A616A2" w:rsidRDefault="00361031">
      <w:pPr>
        <w:pBdr>
          <w:top w:val="nil"/>
          <w:left w:val="nil"/>
          <w:bottom w:val="nil"/>
          <w:right w:val="nil"/>
          <w:between w:val="nil"/>
        </w:pBdr>
        <w:spacing w:after="0"/>
        <w:ind w:left="360"/>
        <w:rPr>
          <w:color w:val="000000"/>
        </w:rPr>
      </w:pPr>
      <w:r>
        <w:rPr>
          <w:b/>
          <w:color w:val="000000"/>
        </w:rPr>
        <w:t xml:space="preserve">Sick Leave Payment upon Retirement </w:t>
      </w:r>
    </w:p>
    <w:p w:rsidR="00A616A2" w:rsidRDefault="00361031">
      <w:pPr>
        <w:numPr>
          <w:ilvl w:val="0"/>
          <w:numId w:val="1"/>
        </w:numPr>
        <w:pBdr>
          <w:top w:val="nil"/>
          <w:left w:val="nil"/>
          <w:bottom w:val="nil"/>
          <w:right w:val="nil"/>
          <w:between w:val="nil"/>
        </w:pBdr>
        <w:spacing w:after="0" w:line="240" w:lineRule="auto"/>
        <w:ind w:left="360"/>
        <w:rPr>
          <w:color w:val="000000"/>
        </w:rPr>
      </w:pPr>
      <w:r>
        <w:rPr>
          <w:color w:val="000000"/>
        </w:rPr>
        <w:t>Upon proper and timely application for the retirement incentive program, the District will pay for accumulated sick leave on a graduated scale up to the maximum accumulated amount indicated by the District.  Certificated employees will be paid based upon a</w:t>
      </w:r>
      <w:r>
        <w:rPr>
          <w:color w:val="000000"/>
        </w:rPr>
        <w:t xml:space="preserve"> daily rate established for payment of a day-to-day substitute teacher in the District.</w:t>
      </w:r>
    </w:p>
    <w:p w:rsidR="00A616A2" w:rsidRDefault="00361031">
      <w:pPr>
        <w:numPr>
          <w:ilvl w:val="0"/>
          <w:numId w:val="1"/>
        </w:numPr>
        <w:pBdr>
          <w:top w:val="nil"/>
          <w:left w:val="nil"/>
          <w:bottom w:val="nil"/>
          <w:right w:val="nil"/>
          <w:between w:val="nil"/>
        </w:pBdr>
        <w:spacing w:after="0" w:line="240" w:lineRule="auto"/>
        <w:ind w:left="360"/>
        <w:rPr>
          <w:color w:val="000000"/>
        </w:rPr>
      </w:pPr>
      <w:r>
        <w:rPr>
          <w:color w:val="000000"/>
        </w:rPr>
        <w:t>The payment will be made on the following scale:     </w:t>
      </w:r>
    </w:p>
    <w:p w:rsidR="00A616A2" w:rsidRDefault="00361031">
      <w:pPr>
        <w:tabs>
          <w:tab w:val="left" w:pos="2700"/>
        </w:tabs>
        <w:spacing w:after="0" w:line="240" w:lineRule="auto"/>
        <w:ind w:left="720" w:hanging="90"/>
        <w:rPr>
          <w:color w:val="000000"/>
        </w:rPr>
      </w:pPr>
      <w:r>
        <w:rPr>
          <w:color w:val="000000"/>
        </w:rPr>
        <w:t>Number of years</w:t>
      </w:r>
      <w:r>
        <w:rPr>
          <w:color w:val="000000"/>
        </w:rPr>
        <w:tab/>
      </w:r>
      <w:r>
        <w:rPr>
          <w:color w:val="000000"/>
        </w:rPr>
        <w:tab/>
        <w:t>Percent</w:t>
      </w:r>
      <w:r>
        <w:rPr>
          <w:color w:val="000000"/>
        </w:rPr>
        <w:tab/>
      </w:r>
      <w:r>
        <w:rPr>
          <w:color w:val="000000"/>
        </w:rPr>
        <w:tab/>
      </w:r>
      <w:r>
        <w:rPr>
          <w:color w:val="000000"/>
        </w:rPr>
        <w:tab/>
      </w:r>
      <w:r>
        <w:rPr>
          <w:color w:val="000000"/>
        </w:rPr>
        <w:tab/>
      </w:r>
    </w:p>
    <w:p w:rsidR="00A616A2" w:rsidRDefault="00361031">
      <w:pPr>
        <w:spacing w:after="0" w:line="240" w:lineRule="auto"/>
        <w:ind w:left="720" w:hanging="90"/>
        <w:rPr>
          <w:color w:val="000000"/>
        </w:rPr>
      </w:pPr>
      <w:r>
        <w:rPr>
          <w:color w:val="000000"/>
        </w:rPr>
        <w:t>of service to the</w:t>
      </w:r>
      <w:r>
        <w:rPr>
          <w:color w:val="000000"/>
        </w:rPr>
        <w:tab/>
      </w:r>
      <w:r>
        <w:rPr>
          <w:color w:val="000000"/>
        </w:rPr>
        <w:tab/>
        <w:t>of daily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A616A2" w:rsidRDefault="00361031">
      <w:pPr>
        <w:tabs>
          <w:tab w:val="left" w:pos="2880"/>
        </w:tabs>
        <w:spacing w:after="0" w:line="240" w:lineRule="auto"/>
        <w:ind w:left="720" w:hanging="90"/>
        <w:rPr>
          <w:color w:val="000000"/>
        </w:rPr>
      </w:pPr>
      <w:r>
        <w:rPr>
          <w:color w:val="000000"/>
        </w:rPr>
        <w:t>School District</w:t>
      </w:r>
      <w:r>
        <w:rPr>
          <w:color w:val="000000"/>
        </w:rPr>
        <w:tab/>
        <w:t>rate</w:t>
      </w:r>
    </w:p>
    <w:p w:rsidR="00A616A2" w:rsidRDefault="00361031">
      <w:pPr>
        <w:tabs>
          <w:tab w:val="left" w:pos="3060"/>
        </w:tabs>
        <w:spacing w:after="0" w:line="240" w:lineRule="auto"/>
        <w:ind w:left="1170"/>
        <w:rPr>
          <w:color w:val="000000"/>
        </w:rPr>
      </w:pPr>
      <w:r>
        <w:rPr>
          <w:color w:val="000000"/>
        </w:rPr>
        <w:t>10                        </w:t>
      </w:r>
      <w:r>
        <w:rPr>
          <w:color w:val="000000"/>
        </w:rPr>
        <w:tab/>
        <w:t>0%</w:t>
      </w:r>
      <w:r>
        <w:rPr>
          <w:color w:val="000000"/>
        </w:rPr>
        <w:t xml:space="preserve">                       </w:t>
      </w:r>
      <w:r>
        <w:rPr>
          <w:color w:val="000000"/>
        </w:rPr>
        <w:tab/>
      </w:r>
      <w:r>
        <w:rPr>
          <w:color w:val="000000"/>
        </w:rPr>
        <w:br/>
        <w:t>11                       </w:t>
      </w:r>
      <w:r>
        <w:rPr>
          <w:color w:val="000000"/>
        </w:rPr>
        <w:tab/>
        <w:t xml:space="preserve">5%                       </w:t>
      </w:r>
      <w:r>
        <w:rPr>
          <w:color w:val="000000"/>
        </w:rPr>
        <w:tab/>
        <w:t>                </w:t>
      </w:r>
    </w:p>
    <w:p w:rsidR="00A616A2" w:rsidRDefault="00361031">
      <w:pPr>
        <w:tabs>
          <w:tab w:val="left" w:pos="3060"/>
        </w:tabs>
        <w:spacing w:after="0" w:line="240" w:lineRule="auto"/>
        <w:ind w:firstLine="1170"/>
        <w:rPr>
          <w:color w:val="000000"/>
        </w:rPr>
      </w:pPr>
      <w:r>
        <w:rPr>
          <w:color w:val="000000"/>
        </w:rPr>
        <w:t>12                        </w:t>
      </w:r>
      <w:r>
        <w:rPr>
          <w:color w:val="000000"/>
        </w:rPr>
        <w:tab/>
        <w:t xml:space="preserve">10%                      </w:t>
      </w:r>
      <w:r>
        <w:rPr>
          <w:color w:val="000000"/>
        </w:rPr>
        <w:tab/>
      </w:r>
      <w:r>
        <w:rPr>
          <w:color w:val="000000"/>
        </w:rPr>
        <w:tab/>
      </w:r>
      <w:r>
        <w:rPr>
          <w:color w:val="000000"/>
        </w:rPr>
        <w:tab/>
      </w:r>
      <w:r>
        <w:rPr>
          <w:color w:val="000000"/>
        </w:rPr>
        <w:tab/>
      </w:r>
      <w:r>
        <w:rPr>
          <w:color w:val="000000"/>
        </w:rPr>
        <w:tab/>
        <w:t>           </w:t>
      </w:r>
    </w:p>
    <w:p w:rsidR="00A616A2" w:rsidRDefault="00361031">
      <w:pPr>
        <w:tabs>
          <w:tab w:val="left" w:pos="3060"/>
        </w:tabs>
        <w:spacing w:after="0" w:line="240" w:lineRule="auto"/>
        <w:ind w:left="1170"/>
        <w:rPr>
          <w:color w:val="000000"/>
        </w:rPr>
      </w:pPr>
      <w:r>
        <w:rPr>
          <w:color w:val="000000"/>
        </w:rPr>
        <w:t>13                        </w:t>
      </w:r>
      <w:r>
        <w:rPr>
          <w:color w:val="000000"/>
        </w:rPr>
        <w:tab/>
        <w:t xml:space="preserve">15%                      </w:t>
      </w:r>
      <w:r>
        <w:rPr>
          <w:color w:val="000000"/>
        </w:rPr>
        <w:tab/>
      </w:r>
      <w:r>
        <w:rPr>
          <w:color w:val="000000"/>
        </w:rPr>
        <w:br/>
        <w:t>14                         </w:t>
      </w:r>
      <w:r>
        <w:rPr>
          <w:color w:val="000000"/>
        </w:rPr>
        <w:tab/>
      </w:r>
      <w:r>
        <w:rPr>
          <w:color w:val="000000"/>
        </w:rPr>
        <w:t xml:space="preserve">20%               </w:t>
      </w:r>
      <w:r>
        <w:rPr>
          <w:color w:val="000000"/>
        </w:rPr>
        <w:tab/>
      </w:r>
      <w:r>
        <w:rPr>
          <w:color w:val="000000"/>
        </w:rPr>
        <w:tab/>
        <w:t xml:space="preserve">                   </w:t>
      </w:r>
    </w:p>
    <w:p w:rsidR="00A616A2" w:rsidRDefault="00361031">
      <w:pPr>
        <w:tabs>
          <w:tab w:val="left" w:pos="3060"/>
        </w:tabs>
        <w:spacing w:after="0" w:line="240" w:lineRule="auto"/>
        <w:ind w:firstLine="1170"/>
        <w:rPr>
          <w:color w:val="000000"/>
        </w:rPr>
      </w:pPr>
      <w:r>
        <w:rPr>
          <w:color w:val="000000"/>
        </w:rPr>
        <w:t>15                      </w:t>
      </w:r>
      <w:r>
        <w:rPr>
          <w:color w:val="000000"/>
        </w:rPr>
        <w:tab/>
        <w:t>25%</w:t>
      </w:r>
    </w:p>
    <w:p w:rsidR="00A616A2" w:rsidRDefault="00361031">
      <w:pPr>
        <w:tabs>
          <w:tab w:val="left" w:pos="3060"/>
        </w:tabs>
        <w:spacing w:after="0" w:line="240" w:lineRule="auto"/>
        <w:ind w:firstLine="1170"/>
        <w:rPr>
          <w:color w:val="000000"/>
        </w:rPr>
      </w:pPr>
      <w:r>
        <w:rPr>
          <w:color w:val="000000"/>
        </w:rPr>
        <w:t xml:space="preserve">16                </w:t>
      </w:r>
      <w:r>
        <w:rPr>
          <w:color w:val="000000"/>
        </w:rPr>
        <w:tab/>
        <w:t>30% </w:t>
      </w:r>
    </w:p>
    <w:p w:rsidR="00A616A2" w:rsidRDefault="00361031">
      <w:pPr>
        <w:tabs>
          <w:tab w:val="left" w:pos="3060"/>
        </w:tabs>
        <w:spacing w:after="0" w:line="240" w:lineRule="auto"/>
        <w:ind w:firstLine="1170"/>
        <w:rPr>
          <w:color w:val="000000"/>
        </w:rPr>
      </w:pPr>
      <w:r>
        <w:rPr>
          <w:color w:val="000000"/>
        </w:rPr>
        <w:t xml:space="preserve">17                </w:t>
      </w:r>
      <w:r>
        <w:rPr>
          <w:color w:val="000000"/>
        </w:rPr>
        <w:tab/>
        <w:t>35% </w:t>
      </w:r>
    </w:p>
    <w:p w:rsidR="00A616A2" w:rsidRDefault="00361031">
      <w:pPr>
        <w:tabs>
          <w:tab w:val="left" w:pos="3060"/>
        </w:tabs>
        <w:spacing w:after="0" w:line="240" w:lineRule="auto"/>
        <w:ind w:firstLine="1170"/>
        <w:rPr>
          <w:color w:val="000000"/>
        </w:rPr>
      </w:pPr>
      <w:r>
        <w:rPr>
          <w:color w:val="000000"/>
        </w:rPr>
        <w:t>18               </w:t>
      </w:r>
      <w:r>
        <w:rPr>
          <w:color w:val="000000"/>
        </w:rPr>
        <w:tab/>
        <w:t>40%</w:t>
      </w:r>
    </w:p>
    <w:p w:rsidR="00A616A2" w:rsidRDefault="00361031">
      <w:pPr>
        <w:tabs>
          <w:tab w:val="left" w:pos="3060"/>
        </w:tabs>
        <w:spacing w:after="0" w:line="240" w:lineRule="auto"/>
        <w:ind w:firstLine="1170"/>
        <w:rPr>
          <w:color w:val="000000"/>
        </w:rPr>
      </w:pPr>
      <w:r>
        <w:rPr>
          <w:color w:val="000000"/>
        </w:rPr>
        <w:t>19               </w:t>
      </w:r>
      <w:r>
        <w:rPr>
          <w:color w:val="000000"/>
        </w:rPr>
        <w:tab/>
        <w:t>45%</w:t>
      </w:r>
    </w:p>
    <w:p w:rsidR="00A616A2" w:rsidRDefault="00361031">
      <w:pPr>
        <w:pBdr>
          <w:top w:val="nil"/>
          <w:left w:val="nil"/>
          <w:bottom w:val="nil"/>
          <w:right w:val="nil"/>
          <w:between w:val="nil"/>
        </w:pBdr>
        <w:tabs>
          <w:tab w:val="left" w:pos="3060"/>
        </w:tabs>
        <w:spacing w:after="0" w:line="240" w:lineRule="auto"/>
        <w:ind w:firstLine="1170"/>
      </w:pPr>
      <w:r>
        <w:rPr>
          <w:color w:val="000000"/>
        </w:rPr>
        <w:t xml:space="preserve">20 and above     </w:t>
      </w:r>
      <w:r>
        <w:rPr>
          <w:color w:val="000000"/>
        </w:rPr>
        <w:tab/>
        <w:t>50%</w:t>
      </w:r>
      <w:r>
        <w:rPr>
          <w:color w:val="000000"/>
        </w:rPr>
        <w:br/>
      </w:r>
    </w:p>
    <w:sectPr w:rsidR="00A616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031" w:rsidRDefault="00361031">
      <w:pPr>
        <w:spacing w:after="0" w:line="240" w:lineRule="auto"/>
      </w:pPr>
      <w:r>
        <w:separator/>
      </w:r>
    </w:p>
  </w:endnote>
  <w:endnote w:type="continuationSeparator" w:id="0">
    <w:p w:rsidR="00361031" w:rsidRDefault="0036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6A2" w:rsidRDefault="00A616A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6A2" w:rsidRDefault="00361031">
    <w:pPr>
      <w:pBdr>
        <w:top w:val="nil"/>
        <w:left w:val="nil"/>
        <w:bottom w:val="nil"/>
        <w:right w:val="nil"/>
        <w:between w:val="nil"/>
      </w:pBdr>
      <w:tabs>
        <w:tab w:val="center" w:pos="4680"/>
        <w:tab w:val="right" w:pos="9360"/>
      </w:tabs>
      <w:spacing w:after="0" w:line="240" w:lineRule="auto"/>
      <w:jc w:val="center"/>
      <w:rPr>
        <w:color w:val="000000"/>
      </w:rPr>
    </w:pPr>
    <w:bookmarkStart w:id="6" w:name="_heading=h.2et92p0" w:colFirst="0" w:colLast="0"/>
    <w:bookmarkEnd w:id="6"/>
    <w:r>
      <w:rPr>
        <w:color w:val="000000"/>
      </w:rPr>
      <w:t>Governing Board Approval – TBD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6A2" w:rsidRDefault="00A616A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031" w:rsidRDefault="00361031">
      <w:pPr>
        <w:spacing w:after="0" w:line="240" w:lineRule="auto"/>
      </w:pPr>
      <w:r>
        <w:separator/>
      </w:r>
    </w:p>
  </w:footnote>
  <w:footnote w:type="continuationSeparator" w:id="0">
    <w:p w:rsidR="00361031" w:rsidRDefault="00361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6A2" w:rsidRDefault="00A616A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6A2" w:rsidRDefault="00361031">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g">
          <w:drawing>
            <wp:anchor distT="0" distB="0" distL="118745" distR="118745" simplePos="0" relativeHeight="251658240" behindDoc="0" locked="0" layoutInCell="1" hidden="0" allowOverlap="1">
              <wp:simplePos x="0" y="0"/>
              <wp:positionH relativeFrom="margin">
                <wp:posOffset>-38088</wp:posOffset>
              </wp:positionH>
              <wp:positionV relativeFrom="page">
                <wp:posOffset>419103</wp:posOffset>
              </wp:positionV>
              <wp:extent cx="6026150" cy="609600"/>
              <wp:effectExtent l="0" t="0" r="0" b="0"/>
              <wp:wrapSquare wrapText="bothSides" distT="0" distB="0" distL="118745" distR="118745"/>
              <wp:docPr id="205" name="Rectangle 205"/>
              <wp:cNvGraphicFramePr/>
              <a:graphic xmlns:a="http://schemas.openxmlformats.org/drawingml/2006/main">
                <a:graphicData uri="http://schemas.microsoft.com/office/word/2010/wordprocessingShape">
                  <wps:wsp>
                    <wps:cNvSpPr/>
                    <wps:spPr>
                      <a:xfrm>
                        <a:off x="2371025" y="3513300"/>
                        <a:ext cx="5949950" cy="533400"/>
                      </a:xfrm>
                      <a:prstGeom prst="rect">
                        <a:avLst/>
                      </a:prstGeom>
                      <a:solidFill>
                        <a:schemeClr val="accent1"/>
                      </a:solidFill>
                      <a:ln>
                        <a:noFill/>
                      </a:ln>
                    </wps:spPr>
                    <wps:txbx>
                      <w:txbxContent>
                        <w:p w:rsidR="00A616A2" w:rsidRDefault="00361031">
                          <w:pPr>
                            <w:spacing w:after="0" w:line="240" w:lineRule="auto"/>
                            <w:jc w:val="center"/>
                            <w:textDirection w:val="btLr"/>
                          </w:pPr>
                          <w:r>
                            <w:rPr>
                              <w:smallCaps/>
                              <w:color w:val="FFFFFF"/>
                              <w:sz w:val="36"/>
                            </w:rPr>
                            <w:t xml:space="preserve">     </w:t>
                          </w:r>
                        </w:p>
                        <w:p w:rsidR="00A616A2" w:rsidRDefault="00361031">
                          <w:pPr>
                            <w:spacing w:line="275" w:lineRule="auto"/>
                            <w:jc w:val="center"/>
                            <w:textDirection w:val="btLr"/>
                          </w:pPr>
                          <w:r>
                            <w:rPr>
                              <w:b/>
                              <w:i/>
                              <w:color w:val="000000"/>
                              <w:sz w:val="32"/>
                            </w:rPr>
                            <w:t>MARICOPA UNIFIED SCHOOL DISTRICT #20</w:t>
                          </w:r>
                        </w:p>
                        <w:p w:rsidR="00A616A2" w:rsidRDefault="00A616A2">
                          <w:pPr>
                            <w:spacing w:line="275" w:lineRule="auto"/>
                            <w:textDirection w:val="btLr"/>
                          </w:pP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8745" distR="118745" hidden="0" layoutInCell="1" locked="0" relativeHeight="0" simplePos="0">
              <wp:simplePos x="0" y="0"/>
              <wp:positionH relativeFrom="margin">
                <wp:posOffset>-38088</wp:posOffset>
              </wp:positionH>
              <wp:positionV relativeFrom="page">
                <wp:posOffset>419103</wp:posOffset>
              </wp:positionV>
              <wp:extent cx="6026150" cy="609600"/>
              <wp:effectExtent b="0" l="0" r="0" t="0"/>
              <wp:wrapSquare wrapText="bothSides" distB="0" distT="0" distL="118745" distR="118745"/>
              <wp:docPr id="20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026150" cy="6096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6A2" w:rsidRDefault="00A616A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B07D2"/>
    <w:multiLevelType w:val="multilevel"/>
    <w:tmpl w:val="82881A2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0F508BF"/>
    <w:multiLevelType w:val="multilevel"/>
    <w:tmpl w:val="8B96A000"/>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02553B"/>
    <w:multiLevelType w:val="multilevel"/>
    <w:tmpl w:val="0D2CB82A"/>
    <w:lvl w:ilvl="0">
      <w:start w:val="20"/>
      <w:numFmt w:val="decimal"/>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 w15:restartNumberingAfterBreak="0">
    <w:nsid w:val="62E11210"/>
    <w:multiLevelType w:val="multilevel"/>
    <w:tmpl w:val="58EA84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6A2"/>
    <w:rsid w:val="00361031"/>
    <w:rsid w:val="00A616A2"/>
    <w:rsid w:val="00C2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4284"/>
  <w15:docId w15:val="{2C93433E-58AE-4C81-9017-DF0ED6ED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5B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5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1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2E3"/>
    <w:rPr>
      <w:rFonts w:ascii="Garamond" w:hAnsi="Garamond"/>
      <w:sz w:val="24"/>
    </w:rPr>
  </w:style>
  <w:style w:type="paragraph" w:styleId="Footer">
    <w:name w:val="footer"/>
    <w:basedOn w:val="Normal"/>
    <w:link w:val="FooterChar"/>
    <w:uiPriority w:val="99"/>
    <w:unhideWhenUsed/>
    <w:rsid w:val="00A21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2E3"/>
    <w:rPr>
      <w:rFonts w:ascii="Garamond" w:hAnsi="Garamond"/>
      <w:sz w:val="24"/>
    </w:rPr>
  </w:style>
  <w:style w:type="paragraph" w:styleId="BalloonText">
    <w:name w:val="Balloon Text"/>
    <w:basedOn w:val="Normal"/>
    <w:link w:val="BalloonTextChar"/>
    <w:uiPriority w:val="99"/>
    <w:semiHidden/>
    <w:unhideWhenUsed/>
    <w:rsid w:val="00A26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0CF"/>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172E64"/>
    <w:pPr>
      <w:ind w:left="720"/>
      <w:contextualSpacing/>
    </w:p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tUVD2R5JhbptxtVoRf23xj6b8w==">CgMxLjAyCWguMWZvYjl0ZTIJaC4zMGowemxsMghoLmdqZGd4czIJaC4zZHk2dmttMghoLnR5amN3dDIJaC4yZXQ5MnAwOAByITFKdjFNZEVZS2tKV0xEemU3am1teEZGU2lhVi1odlFfZw==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Beckett, Tom</dc:creator>
  <cp:lastModifiedBy>Beckett, Tom</cp:lastModifiedBy>
  <cp:revision>2</cp:revision>
  <dcterms:created xsi:type="dcterms:W3CDTF">2025-01-16T22:05:00Z</dcterms:created>
  <dcterms:modified xsi:type="dcterms:W3CDTF">2025-01-16T22:05:00Z</dcterms:modified>
</cp:coreProperties>
</file>