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B1C" w:rsidRPr="00BF26D4" w:rsidRDefault="00236E66">
      <w:pPr>
        <w:jc w:val="center"/>
        <w:rPr>
          <w:rFonts w:ascii="Rockwell" w:eastAsia="Permanent Marker" w:hAnsi="Rockwell" w:cs="Permanent Marker"/>
          <w:sz w:val="60"/>
          <w:szCs w:val="60"/>
        </w:rPr>
      </w:pPr>
      <w:r w:rsidRPr="00BF26D4">
        <w:rPr>
          <w:rFonts w:ascii="Rockwell" w:eastAsia="Permanent Marker" w:hAnsi="Rockwell" w:cs="Permanent Marker"/>
          <w:sz w:val="60"/>
          <w:szCs w:val="60"/>
        </w:rPr>
        <w:t>Become a Teacher!</w:t>
      </w:r>
    </w:p>
    <w:p w:rsidR="00A16B1C" w:rsidRDefault="00236E66">
      <w:pPr>
        <w:jc w:val="center"/>
      </w:pPr>
      <w:r>
        <w:rPr>
          <w:noProof/>
        </w:rPr>
        <w:drawing>
          <wp:inline distT="114300" distB="114300" distL="114300" distR="114300">
            <wp:extent cx="3209925" cy="6762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3209925" cy="676275"/>
                    </a:xfrm>
                    <a:prstGeom prst="rect">
                      <a:avLst/>
                    </a:prstGeom>
                    <a:ln/>
                  </pic:spPr>
                </pic:pic>
              </a:graphicData>
            </a:graphic>
          </wp:inline>
        </w:drawing>
      </w:r>
    </w:p>
    <w:p w:rsidR="00A16B1C" w:rsidRDefault="00A16B1C">
      <w:pPr>
        <w:jc w:val="center"/>
      </w:pPr>
    </w:p>
    <w:p w:rsidR="00A16B1C" w:rsidRDefault="00236E66">
      <w:pPr>
        <w:jc w:val="center"/>
        <w:rPr>
          <w:sz w:val="16"/>
          <w:szCs w:val="16"/>
        </w:rPr>
      </w:pPr>
      <w:r>
        <w:rPr>
          <w:sz w:val="16"/>
          <w:szCs w:val="16"/>
        </w:rPr>
        <w:t>Education Service Center Region 15 partners with Region 4’s Inspire Texas Alternative Certification Program.</w:t>
      </w:r>
    </w:p>
    <w:p w:rsidR="00A16B1C" w:rsidRDefault="00BC3758">
      <w:pPr>
        <w:jc w:val="center"/>
        <w:rPr>
          <w:b/>
        </w:rPr>
      </w:pPr>
      <w:hyperlink r:id="rId6">
        <w:r w:rsidR="00236E66">
          <w:rPr>
            <w:b/>
            <w:color w:val="1155CC"/>
            <w:u w:val="single"/>
          </w:rPr>
          <w:t>www.inspiretexas.net</w:t>
        </w:r>
      </w:hyperlink>
    </w:p>
    <w:p w:rsidR="00BC3758" w:rsidRDefault="00236E66">
      <w:pPr>
        <w:jc w:val="center"/>
        <w:rPr>
          <w:b/>
        </w:rPr>
      </w:pPr>
      <w:r>
        <w:rPr>
          <w:b/>
        </w:rPr>
        <w:t>ESC Reg</w:t>
      </w:r>
      <w:r w:rsidR="00BC3758">
        <w:rPr>
          <w:b/>
        </w:rPr>
        <w:t xml:space="preserve">ion 15 Contact: Michael Bohensky at </w:t>
      </w:r>
      <w:hyperlink r:id="rId7" w:history="1">
        <w:r w:rsidR="00BC3758" w:rsidRPr="00292466">
          <w:rPr>
            <w:rStyle w:val="Hyperlink"/>
            <w:b/>
          </w:rPr>
          <w:t>michael.bohensky@esc15.net</w:t>
        </w:r>
      </w:hyperlink>
      <w:r w:rsidR="00BC3758">
        <w:rPr>
          <w:b/>
        </w:rPr>
        <w:t xml:space="preserve"> </w:t>
      </w:r>
    </w:p>
    <w:p w:rsidR="00A16B1C" w:rsidRDefault="00BC3758">
      <w:pPr>
        <w:jc w:val="center"/>
        <w:rPr>
          <w:b/>
        </w:rPr>
      </w:pPr>
      <w:bookmarkStart w:id="0" w:name="_GoBack"/>
      <w:bookmarkEnd w:id="0"/>
      <w:r>
        <w:rPr>
          <w:b/>
        </w:rPr>
        <w:t>or 325-481-4024</w:t>
      </w:r>
    </w:p>
    <w:p w:rsidR="00A16B1C" w:rsidRDefault="00A16B1C"/>
    <w:p w:rsidR="00A16B1C" w:rsidRDefault="00236E66">
      <w:r>
        <w:t xml:space="preserve">There are two ways to become a teacher through Inspire Texas: clinical teacher and intern teachers.  </w:t>
      </w:r>
    </w:p>
    <w:p w:rsidR="00BF26D4" w:rsidRDefault="00BF26D4">
      <w:pPr>
        <w:rPr>
          <w:rFonts w:ascii="Permanent Marker" w:eastAsia="Permanent Marker" w:hAnsi="Permanent Marker" w:cs="Permanent Marker"/>
          <w:b/>
        </w:rPr>
      </w:pPr>
    </w:p>
    <w:p w:rsidR="00A16B1C" w:rsidRPr="00BF26D4" w:rsidRDefault="00BF26D4">
      <w:pPr>
        <w:rPr>
          <w:rFonts w:ascii="Rockwell" w:eastAsia="Permanent Marker" w:hAnsi="Rockwell" w:cs="Permanent Marker"/>
          <w:b/>
        </w:rPr>
      </w:pPr>
      <w:r>
        <w:rPr>
          <w:rFonts w:ascii="Rockwell" w:eastAsia="Permanent Marker" w:hAnsi="Rockwell" w:cs="Permanent Marker"/>
          <w:b/>
        </w:rPr>
        <w:t>What is</w:t>
      </w:r>
      <w:r w:rsidR="00236E66" w:rsidRPr="00BF26D4">
        <w:rPr>
          <w:rFonts w:ascii="Rockwell" w:eastAsia="Permanent Marker" w:hAnsi="Rockwell" w:cs="Permanent Marker"/>
          <w:b/>
        </w:rPr>
        <w:t xml:space="preserve"> the difference</w:t>
      </w:r>
      <w:r>
        <w:rPr>
          <w:rFonts w:ascii="Rockwell" w:eastAsia="Permanent Marker" w:hAnsi="Rockwell" w:cs="Permanent Marker"/>
          <w:b/>
        </w:rPr>
        <w:t xml:space="preserve"> between clinical teaching and an internship</w:t>
      </w:r>
      <w:r w:rsidR="00236E66" w:rsidRPr="00BF26D4">
        <w:rPr>
          <w:rFonts w:ascii="Rockwell" w:eastAsia="Permanent Marker" w:hAnsi="Rockwell" w:cs="Permanent Marker"/>
          <w:b/>
        </w:rPr>
        <w:t>?</w:t>
      </w:r>
    </w:p>
    <w:p w:rsidR="00A16B1C" w:rsidRDefault="00A16B1C"/>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16B1C">
        <w:tc>
          <w:tcPr>
            <w:tcW w:w="4680" w:type="dxa"/>
            <w:tcMar>
              <w:top w:w="100" w:type="dxa"/>
              <w:left w:w="100" w:type="dxa"/>
              <w:bottom w:w="100" w:type="dxa"/>
              <w:right w:w="100" w:type="dxa"/>
            </w:tcMar>
          </w:tcPr>
          <w:p w:rsidR="00A16B1C" w:rsidRPr="00BF26D4" w:rsidRDefault="00236E66">
            <w:pPr>
              <w:rPr>
                <w:rFonts w:ascii="Permanent Marker" w:eastAsia="Permanent Marker" w:hAnsi="Permanent Marker" w:cs="Permanent Marker"/>
                <w:b/>
              </w:rPr>
            </w:pPr>
            <w:r w:rsidRPr="00BF26D4">
              <w:rPr>
                <w:rFonts w:ascii="Permanent Marker" w:eastAsia="Permanent Marker" w:hAnsi="Permanent Marker" w:cs="Permanent Marker"/>
                <w:b/>
              </w:rPr>
              <w:t>Clinical Teachers</w:t>
            </w:r>
          </w:p>
        </w:tc>
        <w:tc>
          <w:tcPr>
            <w:tcW w:w="4680" w:type="dxa"/>
            <w:tcMar>
              <w:top w:w="100" w:type="dxa"/>
              <w:left w:w="100" w:type="dxa"/>
              <w:bottom w:w="100" w:type="dxa"/>
              <w:right w:w="100" w:type="dxa"/>
            </w:tcMar>
          </w:tcPr>
          <w:p w:rsidR="00A16B1C" w:rsidRPr="00BF26D4" w:rsidRDefault="00236E66">
            <w:pPr>
              <w:widowControl w:val="0"/>
              <w:spacing w:line="240" w:lineRule="auto"/>
              <w:rPr>
                <w:rFonts w:ascii="Permanent Marker" w:eastAsia="Permanent Marker" w:hAnsi="Permanent Marker" w:cs="Permanent Marker"/>
                <w:b/>
              </w:rPr>
            </w:pPr>
            <w:r w:rsidRPr="00BF26D4">
              <w:rPr>
                <w:rFonts w:ascii="Permanent Marker" w:eastAsia="Permanent Marker" w:hAnsi="Permanent Marker" w:cs="Permanent Marker"/>
                <w:b/>
              </w:rPr>
              <w:t>Intern Teachers</w:t>
            </w:r>
          </w:p>
        </w:tc>
      </w:tr>
      <w:tr w:rsidR="00A16B1C">
        <w:tc>
          <w:tcPr>
            <w:tcW w:w="4680" w:type="dxa"/>
            <w:tcMar>
              <w:top w:w="100" w:type="dxa"/>
              <w:left w:w="100" w:type="dxa"/>
              <w:bottom w:w="100" w:type="dxa"/>
              <w:right w:w="100" w:type="dxa"/>
            </w:tcMar>
          </w:tcPr>
          <w:p w:rsidR="00A16B1C" w:rsidRDefault="00236E66">
            <w:pPr>
              <w:widowControl w:val="0"/>
              <w:numPr>
                <w:ilvl w:val="0"/>
                <w:numId w:val="1"/>
              </w:numPr>
              <w:spacing w:line="240" w:lineRule="auto"/>
              <w:ind w:hanging="360"/>
              <w:contextualSpacing/>
            </w:pPr>
            <w:r>
              <w:t>Unpaid</w:t>
            </w:r>
          </w:p>
          <w:p w:rsidR="00A16B1C" w:rsidRDefault="00236E66">
            <w:pPr>
              <w:widowControl w:val="0"/>
              <w:numPr>
                <w:ilvl w:val="0"/>
                <w:numId w:val="1"/>
              </w:numPr>
              <w:spacing w:line="240" w:lineRule="auto"/>
              <w:ind w:hanging="360"/>
              <w:contextualSpacing/>
            </w:pPr>
            <w:r>
              <w:t>12 weeks</w:t>
            </w:r>
          </w:p>
          <w:p w:rsidR="00A16B1C" w:rsidRDefault="00236E66">
            <w:pPr>
              <w:widowControl w:val="0"/>
              <w:numPr>
                <w:ilvl w:val="0"/>
                <w:numId w:val="1"/>
              </w:numPr>
              <w:spacing w:line="240" w:lineRule="auto"/>
              <w:ind w:hanging="360"/>
              <w:contextualSpacing/>
            </w:pPr>
            <w:r>
              <w:t>Under the supervision of a certified classroom teacher</w:t>
            </w:r>
          </w:p>
          <w:p w:rsidR="00A16B1C" w:rsidRDefault="00236E66">
            <w:pPr>
              <w:widowControl w:val="0"/>
              <w:numPr>
                <w:ilvl w:val="0"/>
                <w:numId w:val="1"/>
              </w:numPr>
              <w:spacing w:line="240" w:lineRule="auto"/>
              <w:ind w:hanging="360"/>
              <w:contextualSpacing/>
            </w:pPr>
            <w:r>
              <w:t>Less expensive</w:t>
            </w:r>
          </w:p>
        </w:tc>
        <w:tc>
          <w:tcPr>
            <w:tcW w:w="4680" w:type="dxa"/>
            <w:tcMar>
              <w:top w:w="100" w:type="dxa"/>
              <w:left w:w="100" w:type="dxa"/>
              <w:bottom w:w="100" w:type="dxa"/>
              <w:right w:w="100" w:type="dxa"/>
            </w:tcMar>
          </w:tcPr>
          <w:p w:rsidR="00A16B1C" w:rsidRDefault="00236E66">
            <w:pPr>
              <w:widowControl w:val="0"/>
              <w:numPr>
                <w:ilvl w:val="0"/>
                <w:numId w:val="2"/>
              </w:numPr>
              <w:spacing w:line="240" w:lineRule="auto"/>
              <w:ind w:hanging="360"/>
              <w:contextualSpacing/>
            </w:pPr>
            <w:r>
              <w:t>Paid as a teacher</w:t>
            </w:r>
          </w:p>
          <w:p w:rsidR="00A16B1C" w:rsidRDefault="00236E66">
            <w:pPr>
              <w:widowControl w:val="0"/>
              <w:numPr>
                <w:ilvl w:val="0"/>
                <w:numId w:val="2"/>
              </w:numPr>
              <w:spacing w:line="240" w:lineRule="auto"/>
              <w:ind w:hanging="360"/>
              <w:contextualSpacing/>
            </w:pPr>
            <w:r>
              <w:t>Full year (teacher contract)</w:t>
            </w:r>
          </w:p>
          <w:p w:rsidR="00A16B1C" w:rsidRDefault="00236E66">
            <w:pPr>
              <w:widowControl w:val="0"/>
              <w:numPr>
                <w:ilvl w:val="0"/>
                <w:numId w:val="2"/>
              </w:numPr>
              <w:spacing w:line="240" w:lineRule="auto"/>
              <w:ind w:hanging="360"/>
              <w:contextualSpacing/>
            </w:pPr>
            <w:r>
              <w:t>Intern teachers are the teacher of record and have all of the responsibilities of any other teacher</w:t>
            </w:r>
          </w:p>
          <w:p w:rsidR="00A16B1C" w:rsidRDefault="00236E66">
            <w:pPr>
              <w:widowControl w:val="0"/>
              <w:numPr>
                <w:ilvl w:val="0"/>
                <w:numId w:val="2"/>
              </w:numPr>
              <w:spacing w:line="240" w:lineRule="auto"/>
              <w:ind w:hanging="360"/>
              <w:contextualSpacing/>
            </w:pPr>
            <w:r>
              <w:t>More expensive (can be paid out over ten months)</w:t>
            </w:r>
          </w:p>
        </w:tc>
      </w:tr>
    </w:tbl>
    <w:p w:rsidR="00A16B1C" w:rsidRDefault="00A16B1C"/>
    <w:p w:rsidR="00A16B1C" w:rsidRPr="00BF26D4" w:rsidRDefault="00236E66">
      <w:pPr>
        <w:rPr>
          <w:rFonts w:ascii="Rockwell" w:eastAsia="Permanent Marker" w:hAnsi="Rockwell" w:cs="Permanent Marker"/>
          <w:b/>
        </w:rPr>
      </w:pPr>
      <w:r w:rsidRPr="00BF26D4">
        <w:rPr>
          <w:rFonts w:ascii="Rockwell" w:eastAsia="Permanent Marker" w:hAnsi="Rockwell" w:cs="Permanent Marker"/>
          <w:b/>
        </w:rPr>
        <w:t>How much is this going to cost?</w:t>
      </w:r>
    </w:p>
    <w:p w:rsidR="00A16B1C" w:rsidRDefault="00A16B1C"/>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6B1C">
        <w:tc>
          <w:tcPr>
            <w:tcW w:w="9360" w:type="dxa"/>
            <w:tcMar>
              <w:top w:w="100" w:type="dxa"/>
              <w:left w:w="100" w:type="dxa"/>
              <w:bottom w:w="100" w:type="dxa"/>
              <w:right w:w="100" w:type="dxa"/>
            </w:tcMar>
          </w:tcPr>
          <w:p w:rsidR="00A16B1C" w:rsidRPr="00F849DC" w:rsidRDefault="00236E66">
            <w:pPr>
              <w:widowControl w:val="0"/>
              <w:spacing w:line="240" w:lineRule="auto"/>
              <w:rPr>
                <w:rFonts w:ascii="Rockwell" w:eastAsia="Permanent Marker" w:hAnsi="Rockwell" w:cs="Permanent Marker"/>
                <w:b/>
              </w:rPr>
            </w:pPr>
            <w:r w:rsidRPr="00F849DC">
              <w:rPr>
                <w:rFonts w:ascii="Rockwell" w:eastAsia="Permanent Marker" w:hAnsi="Rockwell" w:cs="Permanent Marker"/>
                <w:b/>
              </w:rPr>
              <w:t>Inspire Texas Fees:</w:t>
            </w:r>
          </w:p>
          <w:p w:rsidR="00A16B1C" w:rsidRDefault="00236E66">
            <w:pPr>
              <w:widowControl w:val="0"/>
              <w:spacing w:line="240" w:lineRule="auto"/>
            </w:pPr>
            <w:r>
              <w:t>Application fee (non-refundable): $</w:t>
            </w:r>
            <w:r w:rsidR="009A0CA3">
              <w:t>95</w:t>
            </w:r>
          </w:p>
          <w:p w:rsidR="00A16B1C" w:rsidRDefault="00236E66">
            <w:pPr>
              <w:widowControl w:val="0"/>
              <w:spacing w:line="240" w:lineRule="auto"/>
            </w:pPr>
            <w:r>
              <w:t>Preservice</w:t>
            </w:r>
            <w:r w:rsidR="009A0CA3">
              <w:t xml:space="preserve"> training (non-refundable): $1300</w:t>
            </w:r>
            <w:r>
              <w:t xml:space="preserve"> (</w:t>
            </w:r>
            <w:r w:rsidR="009A0CA3">
              <w:t xml:space="preserve">$100 discount if </w:t>
            </w:r>
            <w:r>
              <w:t xml:space="preserve">paid in full) </w:t>
            </w:r>
            <w:r w:rsidR="009A0CA3">
              <w:t>payable in five</w:t>
            </w:r>
            <w:r>
              <w:t xml:space="preserve"> monthly installmen</w:t>
            </w:r>
            <w:r w:rsidR="009A0CA3">
              <w:t>ts</w:t>
            </w:r>
            <w:r>
              <w:t>--scholarships available to secondary math and science candidates</w:t>
            </w:r>
          </w:p>
          <w:p w:rsidR="00A16B1C" w:rsidRDefault="00A16B1C">
            <w:pPr>
              <w:widowControl w:val="0"/>
              <w:spacing w:line="240" w:lineRule="auto"/>
            </w:pPr>
          </w:p>
          <w:p w:rsidR="00A16B1C" w:rsidRDefault="00236E66">
            <w:pPr>
              <w:widowControl w:val="0"/>
              <w:spacing w:line="240" w:lineRule="auto"/>
            </w:pPr>
            <w:r>
              <w:t>Once you begin in a classroom, you’ll need to pay these fees:</w:t>
            </w:r>
          </w:p>
          <w:p w:rsidR="00A16B1C" w:rsidRDefault="00236E66">
            <w:pPr>
              <w:widowControl w:val="0"/>
              <w:spacing w:line="240" w:lineRule="auto"/>
            </w:pPr>
            <w:r>
              <w:t>Clinical teachers: $2</w:t>
            </w:r>
            <w:r w:rsidR="00A0053C">
              <w:t>3</w:t>
            </w:r>
            <w:r>
              <w:t>00</w:t>
            </w:r>
          </w:p>
          <w:p w:rsidR="00A0053C" w:rsidRDefault="00A0053C">
            <w:pPr>
              <w:widowControl w:val="0"/>
              <w:spacing w:line="240" w:lineRule="auto"/>
            </w:pPr>
            <w:r>
              <w:t>Clinical teaching fee: $100</w:t>
            </w:r>
          </w:p>
          <w:p w:rsidR="00A16B1C" w:rsidRDefault="00A0053C">
            <w:pPr>
              <w:widowControl w:val="0"/>
              <w:spacing w:line="240" w:lineRule="auto"/>
            </w:pPr>
            <w:r>
              <w:t>Intern teachers: $4180</w:t>
            </w:r>
            <w:r w:rsidR="00236E66">
              <w:t xml:space="preserve"> (payments begin after you begin teaching)</w:t>
            </w:r>
          </w:p>
        </w:tc>
      </w:tr>
      <w:tr w:rsidR="00A16B1C">
        <w:tc>
          <w:tcPr>
            <w:tcW w:w="9360" w:type="dxa"/>
            <w:tcMar>
              <w:top w:w="100" w:type="dxa"/>
              <w:left w:w="100" w:type="dxa"/>
              <w:bottom w:w="100" w:type="dxa"/>
              <w:right w:w="100" w:type="dxa"/>
            </w:tcMar>
          </w:tcPr>
          <w:p w:rsidR="00A16B1C" w:rsidRPr="00F849DC" w:rsidRDefault="00236E66">
            <w:pPr>
              <w:widowControl w:val="0"/>
              <w:spacing w:line="240" w:lineRule="auto"/>
              <w:rPr>
                <w:rFonts w:ascii="Rockwell" w:eastAsia="Permanent Marker" w:hAnsi="Rockwell" w:cs="Permanent Marker"/>
                <w:b/>
              </w:rPr>
            </w:pPr>
            <w:r w:rsidRPr="00F849DC">
              <w:rPr>
                <w:rFonts w:ascii="Rockwell" w:eastAsia="Permanent Marker" w:hAnsi="Rockwell" w:cs="Permanent Marker"/>
                <w:b/>
              </w:rPr>
              <w:t>Other Fees:</w:t>
            </w:r>
          </w:p>
          <w:p w:rsidR="00A16B1C" w:rsidRDefault="00236E66">
            <w:pPr>
              <w:widowControl w:val="0"/>
              <w:spacing w:line="240" w:lineRule="auto"/>
            </w:pPr>
            <w:r>
              <w:t>Criminal History Check: $52</w:t>
            </w:r>
          </w:p>
          <w:p w:rsidR="00A16B1C" w:rsidRDefault="00236E66">
            <w:pPr>
              <w:widowControl w:val="0"/>
              <w:spacing w:line="240" w:lineRule="auto"/>
            </w:pPr>
            <w:r>
              <w:t>Certification Exams (to TEA): $131 (per exam--you’ll take 2 exams--content area and PPR)</w:t>
            </w:r>
          </w:p>
          <w:p w:rsidR="00A16B1C" w:rsidRDefault="00236E66">
            <w:pPr>
              <w:widowControl w:val="0"/>
              <w:spacing w:line="240" w:lineRule="auto"/>
            </w:pPr>
            <w:r>
              <w:t>Probationary Teaching Certificate Application (to TEA): $52</w:t>
            </w:r>
          </w:p>
          <w:p w:rsidR="00A16B1C" w:rsidRDefault="00236E66">
            <w:pPr>
              <w:widowControl w:val="0"/>
              <w:spacing w:line="240" w:lineRule="auto"/>
            </w:pPr>
            <w:r>
              <w:t>Standard Teaching Certificate Application (to TEA): $77</w:t>
            </w:r>
          </w:p>
        </w:tc>
      </w:tr>
      <w:tr w:rsidR="00A16B1C">
        <w:tc>
          <w:tcPr>
            <w:tcW w:w="9360" w:type="dxa"/>
            <w:tcMar>
              <w:top w:w="100" w:type="dxa"/>
              <w:left w:w="100" w:type="dxa"/>
              <w:bottom w:w="100" w:type="dxa"/>
              <w:right w:w="100" w:type="dxa"/>
            </w:tcMar>
          </w:tcPr>
          <w:p w:rsidR="00A16B1C" w:rsidRPr="00F849DC" w:rsidRDefault="00236E66">
            <w:pPr>
              <w:widowControl w:val="0"/>
              <w:spacing w:line="240" w:lineRule="auto"/>
              <w:rPr>
                <w:rFonts w:ascii="Rockwell" w:eastAsia="Permanent Marker" w:hAnsi="Rockwell" w:cs="Permanent Marker"/>
                <w:b/>
              </w:rPr>
            </w:pPr>
            <w:r w:rsidRPr="00F849DC">
              <w:rPr>
                <w:rFonts w:ascii="Rockwell" w:eastAsia="Permanent Marker" w:hAnsi="Rockwell" w:cs="Permanent Marker"/>
                <w:b/>
              </w:rPr>
              <w:t>Optional Fees:</w:t>
            </w:r>
          </w:p>
          <w:p w:rsidR="00A16B1C" w:rsidRDefault="00236E66">
            <w:pPr>
              <w:widowControl w:val="0"/>
              <w:spacing w:line="240" w:lineRule="auto"/>
            </w:pPr>
            <w:r>
              <w:lastRenderedPageBreak/>
              <w:t>Extended Internship, as needed (non-refundable): $1800</w:t>
            </w:r>
          </w:p>
        </w:tc>
      </w:tr>
    </w:tbl>
    <w:p w:rsidR="00A16B1C" w:rsidRPr="00BF26D4" w:rsidRDefault="00236E66">
      <w:pPr>
        <w:rPr>
          <w:rFonts w:ascii="Rockwell" w:eastAsia="Permanent Marker" w:hAnsi="Rockwell" w:cs="Permanent Marker"/>
          <w:b/>
        </w:rPr>
      </w:pPr>
      <w:r w:rsidRPr="00BF26D4">
        <w:rPr>
          <w:rFonts w:ascii="Rockwell" w:eastAsia="Permanent Marker" w:hAnsi="Rockwell" w:cs="Permanent Marker"/>
          <w:b/>
        </w:rPr>
        <w:lastRenderedPageBreak/>
        <w:t>So...What now?</w:t>
      </w:r>
    </w:p>
    <w:p w:rsidR="00A16B1C" w:rsidRDefault="00A16B1C"/>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6B1C">
        <w:tc>
          <w:tcPr>
            <w:tcW w:w="9360" w:type="dxa"/>
            <w:tcMar>
              <w:top w:w="100" w:type="dxa"/>
              <w:left w:w="100" w:type="dxa"/>
              <w:bottom w:w="100" w:type="dxa"/>
              <w:right w:w="100" w:type="dxa"/>
            </w:tcMar>
          </w:tcPr>
          <w:p w:rsidR="00A16B1C" w:rsidRDefault="00236E66">
            <w:pPr>
              <w:widowControl w:val="0"/>
              <w:spacing w:line="240" w:lineRule="auto"/>
            </w:pPr>
            <w:r>
              <w:t xml:space="preserve">Inspire Texas recommends that you go to </w:t>
            </w:r>
            <w:hyperlink r:id="rId8" w:history="1">
              <w:r w:rsidR="00FF76CD">
                <w:rPr>
                  <w:rStyle w:val="Hyperlink"/>
                  <w:color w:val="1155CC"/>
                </w:rPr>
                <w:t>www.tx.nesinc.com</w:t>
              </w:r>
            </w:hyperlink>
            <w:r>
              <w:t xml:space="preserve"> to sign up for your content area test BEFORE applying to their program.  You’ll need to choose the </w:t>
            </w:r>
            <w:r>
              <w:rPr>
                <w:b/>
              </w:rPr>
              <w:t>PACT</w:t>
            </w:r>
            <w:r>
              <w:t xml:space="preserve"> option for this since you aren’t being pre-approved for the exam.  DO NOT create a TEA ID before you do this.</w:t>
            </w:r>
          </w:p>
        </w:tc>
      </w:tr>
      <w:tr w:rsidR="00A16B1C">
        <w:tc>
          <w:tcPr>
            <w:tcW w:w="9360" w:type="dxa"/>
            <w:tcMar>
              <w:top w:w="100" w:type="dxa"/>
              <w:left w:w="100" w:type="dxa"/>
              <w:bottom w:w="100" w:type="dxa"/>
              <w:right w:w="100" w:type="dxa"/>
            </w:tcMar>
          </w:tcPr>
          <w:p w:rsidR="00A16B1C" w:rsidRDefault="00236E66">
            <w:pPr>
              <w:widowControl w:val="0"/>
              <w:spacing w:line="240" w:lineRule="auto"/>
            </w:pPr>
            <w:r>
              <w:t xml:space="preserve">Review material: Full-length practice tests can be found on the TEXES ETS website at: </w:t>
            </w:r>
            <w:hyperlink r:id="rId9" w:history="1">
              <w:r w:rsidR="00FF76CD">
                <w:rPr>
                  <w:rStyle w:val="Hyperlink"/>
                  <w:color w:val="1155CC"/>
                </w:rPr>
                <w:t>www.tx.nesinc.com</w:t>
              </w:r>
            </w:hyperlink>
            <w:r w:rsidR="00FF76CD">
              <w:rPr>
                <w:sz w:val="20"/>
                <w:szCs w:val="20"/>
              </w:rPr>
              <w:t>.</w:t>
            </w:r>
          </w:p>
          <w:p w:rsidR="00A16B1C" w:rsidRDefault="00A16B1C">
            <w:pPr>
              <w:widowControl w:val="0"/>
              <w:spacing w:line="240" w:lineRule="auto"/>
            </w:pPr>
          </w:p>
          <w:p w:rsidR="00A16B1C" w:rsidRDefault="00236E66">
            <w:pPr>
              <w:widowControl w:val="0"/>
              <w:spacing w:line="240" w:lineRule="auto"/>
            </w:pPr>
            <w:r>
              <w:t>Other review materials can be found online.</w:t>
            </w:r>
          </w:p>
          <w:p w:rsidR="00A16B1C" w:rsidRDefault="00A16B1C">
            <w:pPr>
              <w:widowControl w:val="0"/>
              <w:spacing w:line="240" w:lineRule="auto"/>
            </w:pPr>
          </w:p>
          <w:p w:rsidR="00A16B1C" w:rsidRDefault="00236E66">
            <w:pPr>
              <w:widowControl w:val="0"/>
              <w:spacing w:line="240" w:lineRule="auto"/>
            </w:pPr>
            <w:r>
              <w:t xml:space="preserve">The ESC doesn’t currently offer review courses, but Curriculum and Instruction staff members may be able to help with reviews.  </w:t>
            </w:r>
          </w:p>
        </w:tc>
      </w:tr>
      <w:tr w:rsidR="00A16B1C">
        <w:tc>
          <w:tcPr>
            <w:tcW w:w="9360" w:type="dxa"/>
            <w:tcMar>
              <w:top w:w="100" w:type="dxa"/>
              <w:left w:w="100" w:type="dxa"/>
              <w:bottom w:w="100" w:type="dxa"/>
              <w:right w:w="100" w:type="dxa"/>
            </w:tcMar>
          </w:tcPr>
          <w:p w:rsidR="00A16B1C" w:rsidRDefault="00236E66">
            <w:pPr>
              <w:widowControl w:val="0"/>
              <w:spacing w:line="240" w:lineRule="auto"/>
            </w:pPr>
            <w:r>
              <w:t>Once you are in the program, review for the PPR will be included.</w:t>
            </w:r>
          </w:p>
        </w:tc>
      </w:tr>
    </w:tbl>
    <w:p w:rsidR="00A16B1C" w:rsidRDefault="00A16B1C"/>
    <w:p w:rsidR="00A16B1C" w:rsidRDefault="00A16B1C">
      <w:pPr>
        <w:rPr>
          <w:rFonts w:ascii="Permanent Marker" w:eastAsia="Permanent Marker" w:hAnsi="Permanent Marker" w:cs="Permanent Marker"/>
        </w:rPr>
      </w:pPr>
    </w:p>
    <w:p w:rsidR="00A16B1C" w:rsidRPr="00BF26D4" w:rsidRDefault="00236E66">
      <w:pPr>
        <w:rPr>
          <w:rFonts w:ascii="Rockwell" w:eastAsia="Permanent Marker" w:hAnsi="Rockwell" w:cs="Permanent Marker"/>
          <w:b/>
        </w:rPr>
      </w:pPr>
      <w:r w:rsidRPr="00BF26D4">
        <w:rPr>
          <w:rFonts w:ascii="Rockwell" w:eastAsia="Permanent Marker" w:hAnsi="Rockwell" w:cs="Permanent Marker"/>
          <w:b/>
        </w:rPr>
        <w:t>I took my TEXES and I passed!  What’s next? Pre-Service Teaching Activities</w:t>
      </w:r>
    </w:p>
    <w:p w:rsidR="00A16B1C" w:rsidRDefault="00A16B1C">
      <w:pPr>
        <w:rPr>
          <w:rFonts w:ascii="Permanent Marker" w:eastAsia="Permanent Marker" w:hAnsi="Permanent Marker" w:cs="Permanent Marker"/>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6B1C">
        <w:tc>
          <w:tcPr>
            <w:tcW w:w="9360" w:type="dxa"/>
            <w:tcMar>
              <w:top w:w="100" w:type="dxa"/>
              <w:left w:w="100" w:type="dxa"/>
              <w:bottom w:w="100" w:type="dxa"/>
              <w:right w:w="100" w:type="dxa"/>
            </w:tcMar>
          </w:tcPr>
          <w:p w:rsidR="00A16B1C" w:rsidRDefault="00236E66">
            <w:pPr>
              <w:widowControl w:val="0"/>
              <w:spacing w:line="240" w:lineRule="auto"/>
              <w:rPr>
                <w:rFonts w:ascii="Calibri" w:eastAsia="Calibri" w:hAnsi="Calibri" w:cs="Calibri"/>
              </w:rPr>
            </w:pPr>
            <w:r>
              <w:rPr>
                <w:rFonts w:ascii="Calibri" w:eastAsia="Calibri" w:hAnsi="Calibri" w:cs="Calibri"/>
              </w:rPr>
              <w:t xml:space="preserve">You can apply for the program!  Go to </w:t>
            </w:r>
            <w:hyperlink r:id="rId10">
              <w:r>
                <w:rPr>
                  <w:rFonts w:ascii="Calibri" w:eastAsia="Calibri" w:hAnsi="Calibri" w:cs="Calibri"/>
                  <w:color w:val="1155CC"/>
                  <w:u w:val="single"/>
                </w:rPr>
                <w:t>http://inspiretexas.net/teacher</w:t>
              </w:r>
            </w:hyperlink>
            <w:r>
              <w:rPr>
                <w:rFonts w:ascii="Calibri" w:eastAsia="Calibri" w:hAnsi="Calibri" w:cs="Calibri"/>
              </w:rPr>
              <w:t xml:space="preserve"> to get started!</w:t>
            </w:r>
          </w:p>
        </w:tc>
      </w:tr>
      <w:tr w:rsidR="00A16B1C">
        <w:tc>
          <w:tcPr>
            <w:tcW w:w="9360" w:type="dxa"/>
            <w:tcMar>
              <w:top w:w="100" w:type="dxa"/>
              <w:left w:w="100" w:type="dxa"/>
              <w:bottom w:w="100" w:type="dxa"/>
              <w:right w:w="100" w:type="dxa"/>
            </w:tcMar>
          </w:tcPr>
          <w:p w:rsidR="00A16B1C" w:rsidRDefault="00236E66">
            <w:pPr>
              <w:widowControl w:val="0"/>
              <w:spacing w:line="240" w:lineRule="auto"/>
              <w:rPr>
                <w:rFonts w:ascii="Calibri" w:eastAsia="Calibri" w:hAnsi="Calibri" w:cs="Calibri"/>
              </w:rPr>
            </w:pPr>
            <w:r>
              <w:rPr>
                <w:rFonts w:ascii="Calibri" w:eastAsia="Calibri" w:hAnsi="Calibri" w:cs="Calibri"/>
              </w:rPr>
              <w:t xml:space="preserve">Once you’ve been accepted into the program, </w:t>
            </w:r>
          </w:p>
          <w:p w:rsidR="00A16B1C" w:rsidRDefault="00236E66">
            <w:pPr>
              <w:widowControl w:val="0"/>
              <w:numPr>
                <w:ilvl w:val="0"/>
                <w:numId w:val="3"/>
              </w:numPr>
              <w:spacing w:line="240" w:lineRule="auto"/>
              <w:ind w:hanging="360"/>
              <w:contextualSpacing/>
              <w:rPr>
                <w:rFonts w:ascii="Calibri" w:eastAsia="Calibri" w:hAnsi="Calibri" w:cs="Calibri"/>
              </w:rPr>
            </w:pPr>
            <w:r>
              <w:rPr>
                <w:rFonts w:ascii="Calibri" w:eastAsia="Calibri" w:hAnsi="Calibri" w:cs="Calibri"/>
              </w:rPr>
              <w:t>Interns can to begin applying for jobs; and</w:t>
            </w:r>
          </w:p>
          <w:p w:rsidR="00A16B1C" w:rsidRDefault="00236E66">
            <w:pPr>
              <w:widowControl w:val="0"/>
              <w:numPr>
                <w:ilvl w:val="0"/>
                <w:numId w:val="3"/>
              </w:numPr>
              <w:spacing w:line="240" w:lineRule="auto"/>
              <w:ind w:hanging="360"/>
              <w:contextualSpacing/>
              <w:rPr>
                <w:rFonts w:ascii="Calibri" w:eastAsia="Calibri" w:hAnsi="Calibri" w:cs="Calibri"/>
              </w:rPr>
            </w:pPr>
            <w:r>
              <w:rPr>
                <w:rFonts w:ascii="Calibri" w:eastAsia="Calibri" w:hAnsi="Calibri" w:cs="Calibri"/>
              </w:rPr>
              <w:t>Clinical teachers will contact schools to set up their program.</w:t>
            </w:r>
          </w:p>
          <w:p w:rsidR="00A16B1C" w:rsidRDefault="00A16B1C">
            <w:pPr>
              <w:widowControl w:val="0"/>
              <w:spacing w:line="240" w:lineRule="auto"/>
              <w:rPr>
                <w:rFonts w:ascii="Calibri" w:eastAsia="Calibri" w:hAnsi="Calibri" w:cs="Calibri"/>
              </w:rPr>
            </w:pPr>
          </w:p>
          <w:p w:rsidR="00A16B1C" w:rsidRDefault="00236E66">
            <w:pPr>
              <w:widowControl w:val="0"/>
              <w:spacing w:line="240" w:lineRule="auto"/>
              <w:rPr>
                <w:rFonts w:ascii="Calibri" w:eastAsia="Calibri" w:hAnsi="Calibri" w:cs="Calibri"/>
              </w:rPr>
            </w:pPr>
            <w:r>
              <w:rPr>
                <w:rFonts w:ascii="Calibri" w:eastAsia="Calibri" w:hAnsi="Calibri" w:cs="Calibri"/>
              </w:rPr>
              <w:t>Observation hours and reflections are required before actual teaching begins.  This information will be sent to you after you are officially enrolled in the pre-service portion of the program.</w:t>
            </w:r>
          </w:p>
        </w:tc>
      </w:tr>
    </w:tbl>
    <w:p w:rsidR="00A16B1C" w:rsidRDefault="00A16B1C">
      <w:pPr>
        <w:rPr>
          <w:rFonts w:ascii="Permanent Marker" w:eastAsia="Permanent Marker" w:hAnsi="Permanent Marker" w:cs="Permanent Marker"/>
        </w:rPr>
      </w:pPr>
    </w:p>
    <w:p w:rsidR="00A16B1C" w:rsidRPr="00BF26D4" w:rsidRDefault="00236E66">
      <w:pPr>
        <w:rPr>
          <w:rFonts w:ascii="Rockwell" w:eastAsia="Permanent Marker" w:hAnsi="Rockwell" w:cs="Permanent Marker"/>
          <w:b/>
        </w:rPr>
      </w:pPr>
      <w:r w:rsidRPr="00BF26D4">
        <w:rPr>
          <w:rFonts w:ascii="Rockwell" w:eastAsia="Permanent Marker" w:hAnsi="Rockwell" w:cs="Permanent Marker"/>
          <w:b/>
        </w:rPr>
        <w:t>I have a Job (Interns)/Teaching Placement (Clinical Teachers)!</w:t>
      </w:r>
    </w:p>
    <w:p w:rsidR="00A16B1C" w:rsidRDefault="00A16B1C">
      <w:pPr>
        <w:rPr>
          <w:rFonts w:ascii="Permanent Marker" w:eastAsia="Permanent Marker" w:hAnsi="Permanent Marker" w:cs="Permanent Marker"/>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6B1C">
        <w:tc>
          <w:tcPr>
            <w:tcW w:w="9360" w:type="dxa"/>
            <w:tcMar>
              <w:top w:w="100" w:type="dxa"/>
              <w:left w:w="100" w:type="dxa"/>
              <w:bottom w:w="100" w:type="dxa"/>
              <w:right w:w="100" w:type="dxa"/>
            </w:tcMar>
          </w:tcPr>
          <w:p w:rsidR="00A16B1C" w:rsidRDefault="00236E66" w:rsidP="007D679F">
            <w:pPr>
              <w:widowControl w:val="0"/>
              <w:spacing w:line="240" w:lineRule="auto"/>
              <w:rPr>
                <w:rFonts w:ascii="Calibri" w:eastAsia="Calibri" w:hAnsi="Calibri" w:cs="Calibri"/>
              </w:rPr>
            </w:pPr>
            <w:r>
              <w:rPr>
                <w:rFonts w:ascii="Calibri" w:eastAsia="Calibri" w:hAnsi="Calibri" w:cs="Calibri"/>
              </w:rPr>
              <w:t>Clinical teachers will begin their teaching assignments following a specific calendar.  A field supervisor will make three visits during the ass</w:t>
            </w:r>
            <w:r w:rsidR="007D679F">
              <w:rPr>
                <w:rFonts w:ascii="Calibri" w:eastAsia="Calibri" w:hAnsi="Calibri" w:cs="Calibri"/>
              </w:rPr>
              <w:t xml:space="preserve">ignment.  During this time, you will </w:t>
            </w:r>
            <w:r>
              <w:rPr>
                <w:rFonts w:ascii="Calibri" w:eastAsia="Calibri" w:hAnsi="Calibri" w:cs="Calibri"/>
              </w:rPr>
              <w:t>be approved to take the PPR exam.  Once you complete all areas of requirement successfully, you can apply for a standard teaching certificate.</w:t>
            </w:r>
          </w:p>
        </w:tc>
      </w:tr>
      <w:tr w:rsidR="00A16B1C">
        <w:tc>
          <w:tcPr>
            <w:tcW w:w="9360" w:type="dxa"/>
            <w:tcMar>
              <w:top w:w="100" w:type="dxa"/>
              <w:left w:w="100" w:type="dxa"/>
              <w:bottom w:w="100" w:type="dxa"/>
              <w:right w:w="100" w:type="dxa"/>
            </w:tcMar>
          </w:tcPr>
          <w:p w:rsidR="00A16B1C" w:rsidRDefault="00236E66" w:rsidP="00BF26D4">
            <w:pPr>
              <w:widowControl w:val="0"/>
              <w:spacing w:line="240" w:lineRule="auto"/>
              <w:rPr>
                <w:rFonts w:ascii="Calibri" w:eastAsia="Calibri" w:hAnsi="Calibri" w:cs="Calibri"/>
              </w:rPr>
            </w:pPr>
            <w:r>
              <w:rPr>
                <w:rFonts w:ascii="Calibri" w:eastAsia="Calibri" w:hAnsi="Calibri" w:cs="Calibri"/>
              </w:rPr>
              <w:t>Interns will secure employment.  The district will sign and return the agreement with Inspire Texas for you to teach with them.  You must complete TWO CONSECUTIVE SEMESTERS with the SAME DISTRICT.  After you complete all required trainings, you</w:t>
            </w:r>
            <w:r w:rsidR="00BF26D4">
              <w:rPr>
                <w:rFonts w:ascii="Calibri" w:eastAsia="Calibri" w:hAnsi="Calibri" w:cs="Calibri"/>
              </w:rPr>
              <w:t xml:space="preserve"> will</w:t>
            </w:r>
            <w:r>
              <w:rPr>
                <w:rFonts w:ascii="Calibri" w:eastAsia="Calibri" w:hAnsi="Calibri" w:cs="Calibri"/>
              </w:rPr>
              <w:t xml:space="preserve"> be approved to take the PPR exam.  At the end of the year and with successful completion of the program, you can apply for a standard teaching certificate.</w:t>
            </w:r>
          </w:p>
        </w:tc>
      </w:tr>
    </w:tbl>
    <w:p w:rsidR="00A16B1C" w:rsidRDefault="00A16B1C">
      <w:pPr>
        <w:rPr>
          <w:rFonts w:ascii="Calibri" w:eastAsia="Calibri" w:hAnsi="Calibri" w:cs="Calibri"/>
          <w:sz w:val="16"/>
          <w:szCs w:val="16"/>
        </w:rPr>
      </w:pPr>
    </w:p>
    <w:p w:rsidR="00A16B1C" w:rsidRDefault="00236E66">
      <w:pPr>
        <w:rPr>
          <w:rFonts w:ascii="Calibri" w:eastAsia="Calibri" w:hAnsi="Calibri" w:cs="Calibri"/>
          <w:sz w:val="16"/>
          <w:szCs w:val="16"/>
        </w:rPr>
      </w:pPr>
      <w:r>
        <w:rPr>
          <w:rFonts w:ascii="Calibri" w:eastAsia="Calibri" w:hAnsi="Calibri" w:cs="Calibri"/>
          <w:sz w:val="16"/>
          <w:szCs w:val="16"/>
        </w:rPr>
        <w:t>**This information is meant to provide an overview of the alternative teacher certification process that Inspire Texas currently uses.  There are many caveats that can occur with individual situations, and those questions should be address directly with Inspire Texas.  The dollar amounts and timelines may be changed by Inspire Texas.  Inspire Texas has the final authority for all pieces of this program.</w:t>
      </w:r>
    </w:p>
    <w:sectPr w:rsidR="00A16B1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Permanent Marker">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02DEC"/>
    <w:multiLevelType w:val="multilevel"/>
    <w:tmpl w:val="CF742B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728F3640"/>
    <w:multiLevelType w:val="multilevel"/>
    <w:tmpl w:val="D14E22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8B20858"/>
    <w:multiLevelType w:val="multilevel"/>
    <w:tmpl w:val="82F2EE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1C"/>
    <w:rsid w:val="00236E66"/>
    <w:rsid w:val="00266AE1"/>
    <w:rsid w:val="007D679F"/>
    <w:rsid w:val="009A0CA3"/>
    <w:rsid w:val="00A0053C"/>
    <w:rsid w:val="00A16B1C"/>
    <w:rsid w:val="00BC3758"/>
    <w:rsid w:val="00BF26D4"/>
    <w:rsid w:val="00F849DC"/>
    <w:rsid w:val="00FF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0AA9"/>
  <w15:docId w15:val="{E72208C4-935A-4200-B5E8-2F8254DD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Hyperlink">
    <w:name w:val="Hyperlink"/>
    <w:basedOn w:val="DefaultParagraphFont"/>
    <w:uiPriority w:val="99"/>
    <w:unhideWhenUsed/>
    <w:rsid w:val="00FF76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x.nesinc.com/" TargetMode="External"/><Relationship Id="rId3" Type="http://schemas.openxmlformats.org/officeDocument/2006/relationships/settings" Target="settings.xml"/><Relationship Id="rId7" Type="http://schemas.openxmlformats.org/officeDocument/2006/relationships/hyperlink" Target="mailto:michael.bohensky@esc15.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piretexas.ne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inspiretexas.net/teacher" TargetMode="External"/><Relationship Id="rId4" Type="http://schemas.openxmlformats.org/officeDocument/2006/relationships/webSettings" Target="webSettings.xml"/><Relationship Id="rId9" Type="http://schemas.openxmlformats.org/officeDocument/2006/relationships/hyperlink" Target="http://www.tx.nes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ESC Region 15</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Graves</dc:creator>
  <cp:lastModifiedBy>Robin Graves</cp:lastModifiedBy>
  <cp:revision>11</cp:revision>
  <dcterms:created xsi:type="dcterms:W3CDTF">2017-03-29T15:07:00Z</dcterms:created>
  <dcterms:modified xsi:type="dcterms:W3CDTF">2019-01-31T21:06:00Z</dcterms:modified>
</cp:coreProperties>
</file>