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5A6D" w14:textId="77777777" w:rsidR="002C0C0C" w:rsidRPr="00E0314B" w:rsidRDefault="002C0C0C" w:rsidP="00156F69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GENERAL</w:t>
      </w:r>
    </w:p>
    <w:p w14:paraId="180FC7F7" w14:textId="77777777" w:rsidR="002C0C0C" w:rsidRPr="00E0314B" w:rsidRDefault="002C0C0C" w:rsidP="00156F6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SECTION INCLUDES</w:t>
      </w:r>
    </w:p>
    <w:p w14:paraId="30770355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Shop fabricated ferrous metal pipe bollards, galvanized and prime painted.</w:t>
      </w:r>
    </w:p>
    <w:p w14:paraId="60C79AFC" w14:textId="77777777" w:rsidR="002C0C0C" w:rsidRPr="00E0314B" w:rsidRDefault="002C0C0C" w:rsidP="00156F6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REFERENCES</w:t>
      </w:r>
    </w:p>
    <w:p w14:paraId="64919DD8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 xml:space="preserve">ASTM A53 </w:t>
      </w:r>
      <w:r w:rsidRPr="00E0314B">
        <w:rPr>
          <w:rFonts w:ascii="Century Gothic" w:hAnsi="Century Gothic"/>
          <w:szCs w:val="22"/>
        </w:rPr>
        <w:noBreakHyphen/>
        <w:t xml:space="preserve"> Pipe, Steel, Black and Hot</w:t>
      </w:r>
      <w:r w:rsidRPr="00E0314B">
        <w:rPr>
          <w:rFonts w:ascii="Century Gothic" w:hAnsi="Century Gothic"/>
          <w:szCs w:val="22"/>
        </w:rPr>
        <w:noBreakHyphen/>
        <w:t>Dipped, Zinc</w:t>
      </w:r>
      <w:r w:rsidRPr="00E0314B">
        <w:rPr>
          <w:rFonts w:ascii="Century Gothic" w:hAnsi="Century Gothic"/>
          <w:szCs w:val="22"/>
        </w:rPr>
        <w:noBreakHyphen/>
        <w:t>coated Welded and Seamless Steel Pipe.</w:t>
      </w:r>
    </w:p>
    <w:p w14:paraId="416161AD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 xml:space="preserve">ASTM A123 </w:t>
      </w:r>
      <w:r w:rsidRPr="00E0314B">
        <w:rPr>
          <w:rFonts w:ascii="Century Gothic" w:hAnsi="Century Gothic"/>
          <w:szCs w:val="22"/>
        </w:rPr>
        <w:noBreakHyphen/>
        <w:t xml:space="preserve"> Zinc Coating (Hot</w:t>
      </w:r>
      <w:r w:rsidRPr="00E0314B">
        <w:rPr>
          <w:rFonts w:ascii="Century Gothic" w:hAnsi="Century Gothic"/>
          <w:szCs w:val="22"/>
        </w:rPr>
        <w:noBreakHyphen/>
        <w:t>Dip) on Iron and Steel Products.</w:t>
      </w:r>
    </w:p>
    <w:p w14:paraId="4FED0D80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proofErr w:type="spellStart"/>
      <w:r w:rsidRPr="00E0314B">
        <w:rPr>
          <w:rFonts w:ascii="Century Gothic" w:hAnsi="Century Gothic"/>
          <w:szCs w:val="22"/>
        </w:rPr>
        <w:t>SSPC</w:t>
      </w:r>
      <w:proofErr w:type="spellEnd"/>
      <w:r w:rsidRPr="00E0314B">
        <w:rPr>
          <w:rFonts w:ascii="Century Gothic" w:hAnsi="Century Gothic"/>
          <w:szCs w:val="22"/>
        </w:rPr>
        <w:t xml:space="preserve"> SP-2 – Steel Structures Painting Council, Steel Preparation.</w:t>
      </w:r>
    </w:p>
    <w:p w14:paraId="542BD7AB" w14:textId="77777777" w:rsidR="002C0C0C" w:rsidRPr="00E0314B" w:rsidRDefault="002C0C0C" w:rsidP="00156F6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SUBMITTALS</w:t>
      </w:r>
    </w:p>
    <w:p w14:paraId="30FD91BD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Shop Drawings:  Indicate profiles and sizes.</w:t>
      </w:r>
    </w:p>
    <w:p w14:paraId="0ACCD89B" w14:textId="77777777" w:rsidR="002C0C0C" w:rsidRPr="00E0314B" w:rsidRDefault="002C0C0C" w:rsidP="00156F6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FIELD MEASUREMENTS</w:t>
      </w:r>
    </w:p>
    <w:p w14:paraId="6F9E56B9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Verify field measurements.</w:t>
      </w:r>
    </w:p>
    <w:p w14:paraId="2871DBB0" w14:textId="77777777" w:rsidR="002C0C0C" w:rsidRPr="00E0314B" w:rsidRDefault="002C0C0C" w:rsidP="00156F69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PRODUCTS</w:t>
      </w:r>
    </w:p>
    <w:p w14:paraId="3305B8BE" w14:textId="77777777" w:rsidR="002C0C0C" w:rsidRPr="00E0314B" w:rsidRDefault="002C0C0C" w:rsidP="00156F6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MATERIALS</w:t>
      </w:r>
    </w:p>
    <w:p w14:paraId="7D8D27A3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Pipe:  ASTM A53, Grade B, Schedule 40.</w:t>
      </w:r>
    </w:p>
    <w:p w14:paraId="2B369785" w14:textId="77777777" w:rsidR="002C0C0C" w:rsidRPr="00E0314B" w:rsidRDefault="002C0C0C" w:rsidP="00156F6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 xml:space="preserve">Size:  </w:t>
      </w:r>
      <w:proofErr w:type="gramStart"/>
      <w:r w:rsidRPr="00E0314B">
        <w:rPr>
          <w:rFonts w:ascii="Century Gothic" w:hAnsi="Century Gothic"/>
          <w:szCs w:val="22"/>
        </w:rPr>
        <w:t>4 inch</w:t>
      </w:r>
      <w:proofErr w:type="gramEnd"/>
      <w:r w:rsidRPr="00E0314B">
        <w:rPr>
          <w:rFonts w:ascii="Century Gothic" w:hAnsi="Century Gothic"/>
          <w:szCs w:val="22"/>
        </w:rPr>
        <w:t xml:space="preserve"> nominal, .237 inch wall thickness.</w:t>
      </w:r>
    </w:p>
    <w:p w14:paraId="685F942B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Shop and Touch</w:t>
      </w:r>
      <w:r w:rsidRPr="00E0314B">
        <w:rPr>
          <w:rFonts w:ascii="Century Gothic" w:hAnsi="Century Gothic"/>
          <w:szCs w:val="22"/>
        </w:rPr>
        <w:noBreakHyphen/>
        <w:t xml:space="preserve">Up Primer:  Series P10-99 modified alkyd, red color, air dried, by </w:t>
      </w:r>
      <w:proofErr w:type="spellStart"/>
      <w:r w:rsidRPr="00E0314B">
        <w:rPr>
          <w:rFonts w:ascii="Century Gothic" w:hAnsi="Century Gothic"/>
          <w:szCs w:val="22"/>
        </w:rPr>
        <w:t>Tnemec</w:t>
      </w:r>
      <w:proofErr w:type="spellEnd"/>
      <w:r w:rsidRPr="00E0314B">
        <w:rPr>
          <w:rFonts w:ascii="Century Gothic" w:hAnsi="Century Gothic"/>
          <w:szCs w:val="22"/>
        </w:rPr>
        <w:t xml:space="preserve"> or equal as approved in accordance with Division 1, General Requirements for substitutions.</w:t>
      </w:r>
    </w:p>
    <w:p w14:paraId="35C42112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Touch</w:t>
      </w:r>
      <w:r w:rsidRPr="00E0314B">
        <w:rPr>
          <w:rFonts w:ascii="Century Gothic" w:hAnsi="Century Gothic"/>
          <w:szCs w:val="22"/>
        </w:rPr>
        <w:noBreakHyphen/>
        <w:t xml:space="preserve">Up Primer for Galvanized Surfaces:  Ready mixed Zinc rich galvanizing compound, </w:t>
      </w:r>
      <w:proofErr w:type="spellStart"/>
      <w:r w:rsidRPr="00E0314B">
        <w:rPr>
          <w:rFonts w:ascii="Century Gothic" w:hAnsi="Century Gothic"/>
          <w:szCs w:val="22"/>
        </w:rPr>
        <w:t>DEVCON</w:t>
      </w:r>
      <w:proofErr w:type="spellEnd"/>
      <w:r w:rsidRPr="00E0314B">
        <w:rPr>
          <w:rFonts w:ascii="Century Gothic" w:hAnsi="Century Gothic"/>
          <w:szCs w:val="22"/>
        </w:rPr>
        <w:t xml:space="preserve"> Z, by </w:t>
      </w:r>
      <w:proofErr w:type="spellStart"/>
      <w:r w:rsidRPr="00E0314B">
        <w:rPr>
          <w:rFonts w:ascii="Century Gothic" w:hAnsi="Century Gothic"/>
          <w:szCs w:val="22"/>
        </w:rPr>
        <w:t>Devcon</w:t>
      </w:r>
      <w:proofErr w:type="spellEnd"/>
      <w:r w:rsidRPr="00E0314B">
        <w:rPr>
          <w:rFonts w:ascii="Century Gothic" w:hAnsi="Century Gothic"/>
          <w:szCs w:val="22"/>
        </w:rPr>
        <w:t xml:space="preserve"> Corp., Danvers, MA, </w:t>
      </w:r>
      <w:proofErr w:type="spellStart"/>
      <w:r w:rsidRPr="00E0314B">
        <w:rPr>
          <w:rFonts w:ascii="Century Gothic" w:hAnsi="Century Gothic"/>
          <w:szCs w:val="22"/>
        </w:rPr>
        <w:t>GALVICON</w:t>
      </w:r>
      <w:proofErr w:type="spellEnd"/>
      <w:r w:rsidRPr="00E0314B">
        <w:rPr>
          <w:rFonts w:ascii="Century Gothic" w:hAnsi="Century Gothic"/>
          <w:szCs w:val="22"/>
        </w:rPr>
        <w:t>, by Southern Coatings, Sumter, SC, or equal as approved in accordance with Division 1, General Requirements for substitutions.</w:t>
      </w:r>
    </w:p>
    <w:p w14:paraId="40357526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Concrete</w:t>
      </w:r>
      <w:r w:rsidR="00116ABD" w:rsidRPr="00E0314B">
        <w:rPr>
          <w:rFonts w:ascii="Century Gothic" w:hAnsi="Century Gothic"/>
          <w:szCs w:val="22"/>
        </w:rPr>
        <w:t>:  As specified in Section 03</w:t>
      </w:r>
      <w:r w:rsidR="00B960A5">
        <w:rPr>
          <w:rFonts w:ascii="Century Gothic" w:hAnsi="Century Gothic"/>
          <w:szCs w:val="22"/>
        </w:rPr>
        <w:t xml:space="preserve"> 30 00</w:t>
      </w:r>
      <w:r w:rsidRPr="00E0314B">
        <w:rPr>
          <w:rFonts w:ascii="Century Gothic" w:hAnsi="Century Gothic"/>
          <w:szCs w:val="22"/>
        </w:rPr>
        <w:t xml:space="preserve">, </w:t>
      </w:r>
      <w:r w:rsidR="00B960A5">
        <w:rPr>
          <w:rFonts w:ascii="Century Gothic" w:hAnsi="Century Gothic"/>
          <w:szCs w:val="22"/>
        </w:rPr>
        <w:t>3</w:t>
      </w:r>
      <w:r w:rsidRPr="00E0314B">
        <w:rPr>
          <w:rFonts w:ascii="Century Gothic" w:hAnsi="Century Gothic"/>
          <w:szCs w:val="22"/>
        </w:rPr>
        <w:t>500 psi minimum.</w:t>
      </w:r>
    </w:p>
    <w:p w14:paraId="5DDC02D4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Reinforcing:  Deformed bar</w:t>
      </w:r>
      <w:r w:rsidR="00116ABD" w:rsidRPr="00E0314B">
        <w:rPr>
          <w:rFonts w:ascii="Century Gothic" w:hAnsi="Century Gothic"/>
          <w:szCs w:val="22"/>
        </w:rPr>
        <w:t>s, as specified in Section 03200</w:t>
      </w:r>
      <w:r w:rsidRPr="00E0314B">
        <w:rPr>
          <w:rFonts w:ascii="Century Gothic" w:hAnsi="Century Gothic"/>
          <w:szCs w:val="22"/>
        </w:rPr>
        <w:t>.</w:t>
      </w:r>
    </w:p>
    <w:p w14:paraId="5C65588E" w14:textId="77777777" w:rsidR="002C0C0C" w:rsidRPr="00E0314B" w:rsidRDefault="002C0C0C" w:rsidP="00156F6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FABRICATION</w:t>
      </w:r>
    </w:p>
    <w:p w14:paraId="37031BC0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Fit and shop assemble for delivery to site.</w:t>
      </w:r>
    </w:p>
    <w:p w14:paraId="0D4C5844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Ease exposed edges to small uniform radius.</w:t>
      </w:r>
    </w:p>
    <w:p w14:paraId="44E2CF11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 xml:space="preserve">Weld cap plate 1/8 inches thick, continuous weld and grind edges smooth. </w:t>
      </w:r>
    </w:p>
    <w:p w14:paraId="4C2E9904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 xml:space="preserve">Fabricate internal sleeves for removable bollards from Schedule 40 steel pipe or 1/4-inch wall-thickness steel tubing with an OD approximately 1/16 inch less than ID of bollards.  Match drill sleeve and bollard for </w:t>
      </w:r>
      <w:proofErr w:type="gramStart"/>
      <w:r w:rsidRPr="00E0314B">
        <w:rPr>
          <w:rFonts w:ascii="Century Gothic" w:hAnsi="Century Gothic"/>
          <w:szCs w:val="22"/>
        </w:rPr>
        <w:t>1/2 inch</w:t>
      </w:r>
      <w:proofErr w:type="gramEnd"/>
      <w:r w:rsidRPr="00E0314B">
        <w:rPr>
          <w:rFonts w:ascii="Century Gothic" w:hAnsi="Century Gothic"/>
          <w:szCs w:val="22"/>
        </w:rPr>
        <w:t xml:space="preserve"> steel machine bolt.</w:t>
      </w:r>
    </w:p>
    <w:p w14:paraId="32B10020" w14:textId="540EE8BB" w:rsidR="002C0C0C" w:rsidRPr="00E0314B" w:rsidRDefault="00724453" w:rsidP="00156F6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2C0C0C" w:rsidRPr="00E0314B">
        <w:rPr>
          <w:rFonts w:ascii="Century Gothic" w:hAnsi="Century Gothic"/>
          <w:b/>
          <w:szCs w:val="22"/>
        </w:rPr>
        <w:lastRenderedPageBreak/>
        <w:t>FINISHES</w:t>
      </w:r>
    </w:p>
    <w:p w14:paraId="4B5EA504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 xml:space="preserve">Clean surfaces of rust, scale, grease and foreign matter prior to finishing, </w:t>
      </w:r>
      <w:proofErr w:type="spellStart"/>
      <w:r w:rsidRPr="00E0314B">
        <w:rPr>
          <w:rFonts w:ascii="Century Gothic" w:hAnsi="Century Gothic"/>
          <w:szCs w:val="22"/>
        </w:rPr>
        <w:t>SSPC</w:t>
      </w:r>
      <w:proofErr w:type="spellEnd"/>
      <w:r w:rsidRPr="00E0314B">
        <w:rPr>
          <w:rFonts w:ascii="Century Gothic" w:hAnsi="Century Gothic"/>
          <w:szCs w:val="22"/>
        </w:rPr>
        <w:t xml:space="preserve"> SP-2. </w:t>
      </w:r>
    </w:p>
    <w:p w14:paraId="08ED58AF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 xml:space="preserve">Galvanize steel items to a zinc coating thickness in accordance with ASTM A123.  Surfaces shall be free of icicles, </w:t>
      </w:r>
      <w:proofErr w:type="gramStart"/>
      <w:r w:rsidRPr="00E0314B">
        <w:rPr>
          <w:rFonts w:ascii="Century Gothic" w:hAnsi="Century Gothic"/>
          <w:szCs w:val="22"/>
        </w:rPr>
        <w:t>spangles</w:t>
      </w:r>
      <w:proofErr w:type="gramEnd"/>
      <w:r w:rsidRPr="00E0314B">
        <w:rPr>
          <w:rFonts w:ascii="Century Gothic" w:hAnsi="Century Gothic"/>
          <w:szCs w:val="22"/>
        </w:rPr>
        <w:t xml:space="preserve"> and puddling.  Vent all enclosed spaces.</w:t>
      </w:r>
    </w:p>
    <w:p w14:paraId="146FD6F7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Prime paint items with two coats.</w:t>
      </w:r>
    </w:p>
    <w:p w14:paraId="21968DB6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Paint bollards with Special Coatings under Section 09</w:t>
      </w:r>
      <w:r w:rsidR="00B960A5">
        <w:rPr>
          <w:rFonts w:ascii="Century Gothic" w:hAnsi="Century Gothic"/>
          <w:szCs w:val="22"/>
        </w:rPr>
        <w:t xml:space="preserve"> </w:t>
      </w:r>
      <w:proofErr w:type="gramStart"/>
      <w:r w:rsidRPr="00E0314B">
        <w:rPr>
          <w:rFonts w:ascii="Century Gothic" w:hAnsi="Century Gothic"/>
          <w:szCs w:val="22"/>
        </w:rPr>
        <w:t>9</w:t>
      </w:r>
      <w:r w:rsidR="00B960A5">
        <w:rPr>
          <w:rFonts w:ascii="Century Gothic" w:hAnsi="Century Gothic"/>
          <w:szCs w:val="22"/>
        </w:rPr>
        <w:t xml:space="preserve">0  </w:t>
      </w:r>
      <w:r w:rsidRPr="00E0314B">
        <w:rPr>
          <w:rFonts w:ascii="Century Gothic" w:hAnsi="Century Gothic"/>
          <w:szCs w:val="22"/>
        </w:rPr>
        <w:t>00</w:t>
      </w:r>
      <w:proofErr w:type="gramEnd"/>
      <w:r w:rsidRPr="00E0314B">
        <w:rPr>
          <w:rFonts w:ascii="Century Gothic" w:hAnsi="Century Gothic"/>
          <w:szCs w:val="22"/>
        </w:rPr>
        <w:t>, Painting.</w:t>
      </w:r>
    </w:p>
    <w:p w14:paraId="27C739A3" w14:textId="77777777" w:rsidR="002C0C0C" w:rsidRPr="00E0314B" w:rsidRDefault="002C0C0C" w:rsidP="00156F69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EXECUTION</w:t>
      </w:r>
    </w:p>
    <w:p w14:paraId="20FAF6BC" w14:textId="77777777" w:rsidR="002C0C0C" w:rsidRPr="00E0314B" w:rsidRDefault="002C0C0C" w:rsidP="00156F6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EXAMINATION</w:t>
      </w:r>
    </w:p>
    <w:p w14:paraId="56D85FF0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Verify that field conditions are acceptable and are ready to receive work.</w:t>
      </w:r>
    </w:p>
    <w:p w14:paraId="45E56BA1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Beginning of installation means erector accepts existing conditions.</w:t>
      </w:r>
    </w:p>
    <w:p w14:paraId="0D5ED97B" w14:textId="77777777" w:rsidR="002C0C0C" w:rsidRPr="00E0314B" w:rsidRDefault="002C0C0C" w:rsidP="00156F6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INSTALLATION</w:t>
      </w:r>
    </w:p>
    <w:p w14:paraId="0AC9FCEF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Install bollards plumb and level, in concrete foundation.</w:t>
      </w:r>
    </w:p>
    <w:p w14:paraId="01F9079D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 xml:space="preserve">Concrete:  Minimum </w:t>
      </w:r>
      <w:proofErr w:type="gramStart"/>
      <w:r w:rsidRPr="00E0314B">
        <w:rPr>
          <w:rFonts w:ascii="Century Gothic" w:hAnsi="Century Gothic"/>
          <w:szCs w:val="22"/>
        </w:rPr>
        <w:t>14 inch</w:t>
      </w:r>
      <w:proofErr w:type="gramEnd"/>
      <w:r w:rsidRPr="00E0314B">
        <w:rPr>
          <w:rFonts w:ascii="Century Gothic" w:hAnsi="Century Gothic"/>
          <w:szCs w:val="22"/>
        </w:rPr>
        <w:t xml:space="preserve"> diameter, 3 ft deep.</w:t>
      </w:r>
    </w:p>
    <w:p w14:paraId="49A5BAA5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>Reinforcing:  Provide four No. 4 bars vertically, with four No. 3 horizontal ties.</w:t>
      </w:r>
    </w:p>
    <w:p w14:paraId="75F63703" w14:textId="77777777" w:rsidR="002C0C0C" w:rsidRPr="00E0314B" w:rsidRDefault="002C0C0C" w:rsidP="00156F6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ERECTION TOLERANCE</w:t>
      </w:r>
    </w:p>
    <w:p w14:paraId="01A97497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 xml:space="preserve">Maximum Variation </w:t>
      </w:r>
      <w:proofErr w:type="gramStart"/>
      <w:r w:rsidRPr="00E0314B">
        <w:rPr>
          <w:rFonts w:ascii="Century Gothic" w:hAnsi="Century Gothic"/>
          <w:szCs w:val="22"/>
        </w:rPr>
        <w:t>From</w:t>
      </w:r>
      <w:proofErr w:type="gramEnd"/>
      <w:r w:rsidRPr="00E0314B">
        <w:rPr>
          <w:rFonts w:ascii="Century Gothic" w:hAnsi="Century Gothic"/>
          <w:szCs w:val="22"/>
        </w:rPr>
        <w:t xml:space="preserve"> Plumb:  1/4 inch.</w:t>
      </w:r>
    </w:p>
    <w:p w14:paraId="5CEA7A21" w14:textId="77777777" w:rsidR="002C0C0C" w:rsidRPr="00E0314B" w:rsidRDefault="002C0C0C" w:rsidP="00156F6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E0314B">
        <w:rPr>
          <w:rFonts w:ascii="Century Gothic" w:hAnsi="Century Gothic"/>
          <w:szCs w:val="22"/>
        </w:rPr>
        <w:t xml:space="preserve">Maximum Offset </w:t>
      </w:r>
      <w:proofErr w:type="gramStart"/>
      <w:r w:rsidRPr="00E0314B">
        <w:rPr>
          <w:rFonts w:ascii="Century Gothic" w:hAnsi="Century Gothic"/>
          <w:szCs w:val="22"/>
        </w:rPr>
        <w:t>From</w:t>
      </w:r>
      <w:proofErr w:type="gramEnd"/>
      <w:r w:rsidRPr="00E0314B">
        <w:rPr>
          <w:rFonts w:ascii="Century Gothic" w:hAnsi="Century Gothic"/>
          <w:szCs w:val="22"/>
        </w:rPr>
        <w:t xml:space="preserve"> True Alignment:  1/4 inch.</w:t>
      </w:r>
    </w:p>
    <w:p w14:paraId="2A5C2373" w14:textId="77777777" w:rsidR="002C0C0C" w:rsidRPr="00E0314B" w:rsidRDefault="002C0C0C" w:rsidP="00724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3600" w:firstLine="360"/>
        <w:jc w:val="both"/>
        <w:rPr>
          <w:rFonts w:ascii="Century Gothic" w:hAnsi="Century Gothic"/>
          <w:b/>
          <w:szCs w:val="22"/>
        </w:rPr>
      </w:pPr>
      <w:r w:rsidRPr="00E0314B">
        <w:rPr>
          <w:rFonts w:ascii="Century Gothic" w:hAnsi="Century Gothic"/>
          <w:b/>
          <w:szCs w:val="22"/>
        </w:rPr>
        <w:t>END OF SECTION</w:t>
      </w:r>
    </w:p>
    <w:sectPr w:rsidR="002C0C0C" w:rsidRPr="00E0314B" w:rsidSect="00156F69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4399" w14:textId="77777777" w:rsidR="00346B3C" w:rsidRDefault="00346B3C">
      <w:r>
        <w:separator/>
      </w:r>
    </w:p>
  </w:endnote>
  <w:endnote w:type="continuationSeparator" w:id="0">
    <w:p w14:paraId="13A9679D" w14:textId="77777777" w:rsidR="00346B3C" w:rsidRDefault="0034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6906" w14:textId="77777777" w:rsidR="00E24330" w:rsidRPr="00156F69" w:rsidRDefault="00E24330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156F69">
      <w:rPr>
        <w:rFonts w:ascii="Century Gothic" w:hAnsi="Century Gothic"/>
        <w:spacing w:val="-3"/>
        <w:sz w:val="20"/>
      </w:rPr>
      <w:t xml:space="preserve">Revised:  </w:t>
    </w:r>
    <w:r w:rsidR="00116ABD" w:rsidRPr="00156F69">
      <w:rPr>
        <w:rFonts w:ascii="Century Gothic" w:hAnsi="Century Gothic"/>
        <w:spacing w:val="-3"/>
        <w:sz w:val="20"/>
      </w:rPr>
      <w:t>0</w:t>
    </w:r>
    <w:r w:rsidR="00F474C9" w:rsidRPr="00156F69">
      <w:rPr>
        <w:rFonts w:ascii="Century Gothic" w:hAnsi="Century Gothic"/>
        <w:spacing w:val="-3"/>
        <w:sz w:val="20"/>
      </w:rPr>
      <w:t>1/07/22</w:t>
    </w:r>
    <w:r w:rsidRPr="00156F69">
      <w:rPr>
        <w:rFonts w:ascii="Century Gothic" w:hAnsi="Century Gothic"/>
        <w:spacing w:val="-3"/>
        <w:sz w:val="20"/>
      </w:rPr>
      <w:tab/>
      <w:t xml:space="preserve">Page </w:t>
    </w:r>
    <w:r w:rsidRPr="00156F69">
      <w:rPr>
        <w:rStyle w:val="PageNumber"/>
        <w:rFonts w:ascii="Century Gothic" w:hAnsi="Century Gothic"/>
        <w:sz w:val="20"/>
      </w:rPr>
      <w:fldChar w:fldCharType="begin"/>
    </w:r>
    <w:r w:rsidRPr="00156F69">
      <w:rPr>
        <w:rStyle w:val="PageNumber"/>
        <w:rFonts w:ascii="Century Gothic" w:hAnsi="Century Gothic"/>
        <w:sz w:val="20"/>
      </w:rPr>
      <w:instrText xml:space="preserve"> PAGE </w:instrText>
    </w:r>
    <w:r w:rsidRPr="00156F69">
      <w:rPr>
        <w:rStyle w:val="PageNumber"/>
        <w:rFonts w:ascii="Century Gothic" w:hAnsi="Century Gothic"/>
        <w:sz w:val="20"/>
      </w:rPr>
      <w:fldChar w:fldCharType="separate"/>
    </w:r>
    <w:r w:rsidR="003F3045" w:rsidRPr="00156F69">
      <w:rPr>
        <w:rStyle w:val="PageNumber"/>
        <w:rFonts w:ascii="Century Gothic" w:hAnsi="Century Gothic"/>
        <w:noProof/>
        <w:sz w:val="20"/>
      </w:rPr>
      <w:t>1</w:t>
    </w:r>
    <w:r w:rsidRPr="00156F69">
      <w:rPr>
        <w:rStyle w:val="PageNumber"/>
        <w:rFonts w:ascii="Century Gothic" w:hAnsi="Century Gothic"/>
        <w:sz w:val="20"/>
      </w:rPr>
      <w:fldChar w:fldCharType="end"/>
    </w:r>
    <w:r w:rsidRPr="00156F69">
      <w:rPr>
        <w:rStyle w:val="PageNumber"/>
        <w:rFonts w:ascii="Century Gothic" w:hAnsi="Century Gothic"/>
        <w:sz w:val="20"/>
      </w:rPr>
      <w:t xml:space="preserve"> of </w:t>
    </w:r>
    <w:r w:rsidRPr="00156F69">
      <w:rPr>
        <w:rStyle w:val="PageNumber"/>
        <w:rFonts w:ascii="Century Gothic" w:hAnsi="Century Gothic"/>
        <w:sz w:val="20"/>
      </w:rPr>
      <w:fldChar w:fldCharType="begin"/>
    </w:r>
    <w:r w:rsidRPr="00156F69">
      <w:rPr>
        <w:rStyle w:val="PageNumber"/>
        <w:rFonts w:ascii="Century Gothic" w:hAnsi="Century Gothic"/>
        <w:sz w:val="20"/>
      </w:rPr>
      <w:instrText xml:space="preserve"> NUMPAGES </w:instrText>
    </w:r>
    <w:r w:rsidRPr="00156F69">
      <w:rPr>
        <w:rStyle w:val="PageNumber"/>
        <w:rFonts w:ascii="Century Gothic" w:hAnsi="Century Gothic"/>
        <w:sz w:val="20"/>
      </w:rPr>
      <w:fldChar w:fldCharType="separate"/>
    </w:r>
    <w:r w:rsidR="003F3045" w:rsidRPr="00156F69">
      <w:rPr>
        <w:rStyle w:val="PageNumber"/>
        <w:rFonts w:ascii="Century Gothic" w:hAnsi="Century Gothic"/>
        <w:noProof/>
        <w:sz w:val="20"/>
      </w:rPr>
      <w:t>2</w:t>
    </w:r>
    <w:r w:rsidRPr="00156F69">
      <w:rPr>
        <w:rStyle w:val="PageNumber"/>
        <w:rFonts w:ascii="Century Gothic" w:hAnsi="Century Gothic"/>
        <w:sz w:val="20"/>
      </w:rPr>
      <w:fldChar w:fldCharType="end"/>
    </w:r>
  </w:p>
  <w:p w14:paraId="56AAD4C2" w14:textId="731E477D" w:rsidR="00155F28" w:rsidRPr="00156F69" w:rsidRDefault="00155F28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156F69">
      <w:rPr>
        <w:rFonts w:ascii="Century Gothic" w:hAnsi="Century Gothic"/>
        <w:spacing w:val="-3"/>
        <w:sz w:val="20"/>
      </w:rPr>
      <w:tab/>
      <w:t>Metal Pipe Bollards</w:t>
    </w:r>
  </w:p>
  <w:p w14:paraId="72B0FE8D" w14:textId="4E0A35BB" w:rsidR="00E24330" w:rsidRPr="00156F69" w:rsidRDefault="00155F28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156F69">
      <w:rPr>
        <w:rFonts w:ascii="Century Gothic" w:hAnsi="Century Gothic"/>
        <w:spacing w:val="-3"/>
        <w:sz w:val="20"/>
      </w:rPr>
      <w:tab/>
    </w:r>
    <w:r w:rsidR="00156F69">
      <w:rPr>
        <w:rFonts w:ascii="Century Gothic" w:hAnsi="Century Gothic"/>
        <w:spacing w:val="-3"/>
        <w:sz w:val="20"/>
      </w:rPr>
      <w:t xml:space="preserve">Section </w:t>
    </w:r>
    <w:r w:rsidR="00F474C9" w:rsidRPr="00156F69">
      <w:rPr>
        <w:rFonts w:ascii="Century Gothic" w:hAnsi="Century Gothic"/>
        <w:spacing w:val="-3"/>
        <w:sz w:val="20"/>
      </w:rPr>
      <w:t>32 39 13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8590" w14:textId="77777777" w:rsidR="00346B3C" w:rsidRDefault="00346B3C">
      <w:r>
        <w:separator/>
      </w:r>
    </w:p>
  </w:footnote>
  <w:footnote w:type="continuationSeparator" w:id="0">
    <w:p w14:paraId="53E05457" w14:textId="77777777" w:rsidR="00346B3C" w:rsidRDefault="0034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D020" w14:textId="1015F024" w:rsidR="00E24330" w:rsidRPr="00156F69" w:rsidRDefault="00E24330" w:rsidP="00156F69">
    <w:pPr>
      <w:pStyle w:val="Header"/>
      <w:jc w:val="right"/>
      <w:rPr>
        <w:rFonts w:ascii="Century Gothic" w:hAnsi="Century Gothic"/>
        <w:bCs/>
        <w:szCs w:val="22"/>
      </w:rPr>
    </w:pPr>
    <w:r w:rsidRPr="00156F69">
      <w:rPr>
        <w:rFonts w:ascii="Century Gothic" w:hAnsi="Century Gothic"/>
        <w:bCs/>
        <w:szCs w:val="22"/>
      </w:rPr>
      <w:t>Fontana Unified School District</w:t>
    </w:r>
  </w:p>
  <w:p w14:paraId="41195443" w14:textId="6DF16B14" w:rsidR="00E24330" w:rsidRPr="00156F69" w:rsidRDefault="00E24330" w:rsidP="00156F69">
    <w:pPr>
      <w:pStyle w:val="Header"/>
      <w:jc w:val="right"/>
      <w:rPr>
        <w:rFonts w:ascii="Century Gothic" w:hAnsi="Century Gothic"/>
        <w:bCs/>
        <w:szCs w:val="22"/>
      </w:rPr>
    </w:pPr>
    <w:r w:rsidRPr="00156F69">
      <w:rPr>
        <w:rFonts w:ascii="Century Gothic" w:hAnsi="Century Gothic"/>
        <w:bCs/>
        <w:szCs w:val="22"/>
      </w:rPr>
      <w:t>METAL PIPE BOLLARDS</w:t>
    </w:r>
  </w:p>
  <w:p w14:paraId="03C252E7" w14:textId="61A5CD62" w:rsidR="00E24330" w:rsidRPr="00156F69" w:rsidRDefault="00F474C9" w:rsidP="00156F69">
    <w:pPr>
      <w:pStyle w:val="Header"/>
      <w:jc w:val="right"/>
      <w:rPr>
        <w:rFonts w:ascii="Century Gothic" w:hAnsi="Century Gothic"/>
        <w:bCs/>
        <w:szCs w:val="22"/>
      </w:rPr>
    </w:pPr>
    <w:r w:rsidRPr="00156F69">
      <w:rPr>
        <w:rFonts w:ascii="Century Gothic" w:hAnsi="Century Gothic"/>
        <w:bCs/>
        <w:szCs w:val="22"/>
      </w:rPr>
      <w:t>32 39 13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ART"/>
      <w:suff w:val="nothing"/>
      <w:lvlText w:val="SCHEDULE %2 - "/>
      <w:lvlJc w:val="left"/>
      <w:pPr>
        <w:ind w:left="0" w:firstLine="0"/>
      </w:p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13D75C3A"/>
    <w:multiLevelType w:val="multilevel"/>
    <w:tmpl w:val="9E107472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01161448">
    <w:abstractNumId w:val="0"/>
  </w:num>
  <w:num w:numId="2" w16cid:durableId="22179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BC6"/>
    <w:rsid w:val="00116ABD"/>
    <w:rsid w:val="00134E4D"/>
    <w:rsid w:val="00155F28"/>
    <w:rsid w:val="00156F69"/>
    <w:rsid w:val="001C052F"/>
    <w:rsid w:val="00263793"/>
    <w:rsid w:val="002B61BE"/>
    <w:rsid w:val="002C0C0C"/>
    <w:rsid w:val="00346B3C"/>
    <w:rsid w:val="003F3045"/>
    <w:rsid w:val="0059149D"/>
    <w:rsid w:val="00592F76"/>
    <w:rsid w:val="00724453"/>
    <w:rsid w:val="00843755"/>
    <w:rsid w:val="00850FBB"/>
    <w:rsid w:val="00960BC6"/>
    <w:rsid w:val="00A3183E"/>
    <w:rsid w:val="00B960A5"/>
    <w:rsid w:val="00CD5629"/>
    <w:rsid w:val="00CE12E1"/>
    <w:rsid w:val="00D1404D"/>
    <w:rsid w:val="00E0314B"/>
    <w:rsid w:val="00E24330"/>
    <w:rsid w:val="00EE03F3"/>
    <w:rsid w:val="00F474C9"/>
    <w:rsid w:val="00F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8EFF0"/>
  <w15:chartTrackingRefBased/>
  <w15:docId w15:val="{3074A372-0B45-4AEA-AA61-13F08E41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pacing w:val="-3"/>
    </w:rPr>
  </w:style>
  <w:style w:type="character" w:styleId="PageNumber">
    <w:name w:val="page number"/>
    <w:basedOn w:val="DefaultParagraphFont"/>
    <w:rsid w:val="0059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 PIPE BOLLARDS</vt:lpstr>
    </vt:vector>
  </TitlesOfParts>
  <Company>ARCOM, Inc.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PIPE BOLLARDS</dc:title>
  <dc:subject>MASTER</dc:subject>
  <dc:creator>MASTERWORKS</dc:creator>
  <cp:keywords>BAS-12345-MS80</cp:keywords>
  <cp:lastModifiedBy>Nancy Pilkington</cp:lastModifiedBy>
  <cp:revision>4</cp:revision>
  <cp:lastPrinted>2005-09-26T17:24:00Z</cp:lastPrinted>
  <dcterms:created xsi:type="dcterms:W3CDTF">2022-04-26T04:12:00Z</dcterms:created>
  <dcterms:modified xsi:type="dcterms:W3CDTF">2022-05-09T19:51:00Z</dcterms:modified>
</cp:coreProperties>
</file>