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3629" w14:textId="77777777" w:rsidR="007409D5" w:rsidRPr="00BD0C5E" w:rsidRDefault="00EA2327" w:rsidP="00F51208">
      <w:pPr>
        <w:pStyle w:val="BodyText"/>
        <w:tabs>
          <w:tab w:val="left" w:pos="720"/>
          <w:tab w:val="left" w:pos="1440"/>
          <w:tab w:val="left" w:pos="2160"/>
          <w:tab w:val="left" w:pos="2880"/>
          <w:tab w:val="left" w:pos="3600"/>
          <w:tab w:val="left" w:pos="4320"/>
          <w:tab w:val="left" w:pos="5040"/>
        </w:tabs>
        <w:spacing w:after="120"/>
        <w:ind w:left="720" w:hanging="720"/>
        <w:jc w:val="both"/>
        <w:rPr>
          <w:b/>
          <w:bCs/>
        </w:rPr>
      </w:pPr>
      <w:bookmarkStart w:id="0" w:name="SPC_V2_1058"/>
      <w:bookmarkEnd w:id="0"/>
      <w:r w:rsidRPr="00BD0C5E">
        <w:rPr>
          <w:b/>
          <w:bCs/>
          <w:color w:val="221F1F"/>
        </w:rPr>
        <w:t>PART 1 - GENERAL</w:t>
      </w:r>
    </w:p>
    <w:p w14:paraId="7F88AF23"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SUMMARY</w:t>
      </w:r>
    </w:p>
    <w:p w14:paraId="39B3DCDB"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 xml:space="preserve">Work Includes: Exterior tile warning surfaces at traffic walks; also denoted on drawings as truncated dome pavers, </w:t>
      </w:r>
      <w:proofErr w:type="gramStart"/>
      <w:r>
        <w:rPr>
          <w:color w:val="221F1F"/>
        </w:rPr>
        <w:t>tiles</w:t>
      </w:r>
      <w:proofErr w:type="gramEnd"/>
      <w:r>
        <w:rPr>
          <w:color w:val="221F1F"/>
        </w:rPr>
        <w:t xml:space="preserve"> or other industry standard nomenclature.</w:t>
      </w:r>
    </w:p>
    <w:p w14:paraId="7F7F214A"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Related</w:t>
      </w:r>
      <w:r>
        <w:rPr>
          <w:color w:val="221F1F"/>
          <w:spacing w:val="-4"/>
        </w:rPr>
        <w:t xml:space="preserve"> </w:t>
      </w:r>
      <w:r>
        <w:rPr>
          <w:color w:val="221F1F"/>
        </w:rPr>
        <w:t>Work:</w:t>
      </w:r>
    </w:p>
    <w:p w14:paraId="4B2D14AF"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Requirements in Addenda, Alternates, Conditions, and Division 1 collectively apply to this</w:t>
      </w:r>
      <w:r>
        <w:rPr>
          <w:color w:val="221F1F"/>
          <w:spacing w:val="-6"/>
        </w:rPr>
        <w:t xml:space="preserve"> </w:t>
      </w:r>
      <w:r>
        <w:rPr>
          <w:color w:val="221F1F"/>
        </w:rPr>
        <w:t>work.</w:t>
      </w:r>
    </w:p>
    <w:p w14:paraId="1B7F60B5"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Portland Cement Concrete Paving: Section 32 13</w:t>
      </w:r>
      <w:r>
        <w:rPr>
          <w:color w:val="221F1F"/>
          <w:spacing w:val="-22"/>
        </w:rPr>
        <w:t xml:space="preserve"> </w:t>
      </w:r>
      <w:r>
        <w:rPr>
          <w:color w:val="221F1F"/>
        </w:rPr>
        <w:t>14.</w:t>
      </w:r>
    </w:p>
    <w:p w14:paraId="248ABB8B"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SUBSTITUTIONS</w:t>
      </w:r>
    </w:p>
    <w:p w14:paraId="794999D0" w14:textId="77777777" w:rsidR="007409D5" w:rsidRDefault="00EA2327" w:rsidP="00F51208">
      <w:pPr>
        <w:pStyle w:val="BodyText"/>
        <w:tabs>
          <w:tab w:val="left" w:pos="720"/>
          <w:tab w:val="left" w:pos="1440"/>
          <w:tab w:val="left" w:pos="2160"/>
          <w:tab w:val="left" w:pos="2880"/>
          <w:tab w:val="left" w:pos="3600"/>
          <w:tab w:val="left" w:pos="4320"/>
          <w:tab w:val="left" w:pos="5040"/>
        </w:tabs>
        <w:spacing w:after="120"/>
        <w:ind w:left="720" w:firstLine="0"/>
        <w:jc w:val="both"/>
      </w:pPr>
      <w:r>
        <w:rPr>
          <w:color w:val="221F1F"/>
        </w:rPr>
        <w:t>Only written approval of the Architect, by Addenda or Change Order, will permit substitutions</w:t>
      </w:r>
      <w:r>
        <w:rPr>
          <w:color w:val="221F1F"/>
          <w:spacing w:val="-13"/>
        </w:rPr>
        <w:t xml:space="preserve"> </w:t>
      </w:r>
      <w:r>
        <w:rPr>
          <w:color w:val="221F1F"/>
        </w:rPr>
        <w:t>for</w:t>
      </w:r>
      <w:r>
        <w:rPr>
          <w:color w:val="221F1F"/>
          <w:spacing w:val="-13"/>
        </w:rPr>
        <w:t xml:space="preserve"> </w:t>
      </w:r>
      <w:r>
        <w:rPr>
          <w:color w:val="221F1F"/>
        </w:rPr>
        <w:t>materials</w:t>
      </w:r>
      <w:r>
        <w:rPr>
          <w:color w:val="221F1F"/>
          <w:spacing w:val="-13"/>
        </w:rPr>
        <w:t xml:space="preserve"> </w:t>
      </w:r>
      <w:r>
        <w:rPr>
          <w:color w:val="221F1F"/>
        </w:rPr>
        <w:t>specified;</w:t>
      </w:r>
      <w:r>
        <w:rPr>
          <w:color w:val="221F1F"/>
          <w:spacing w:val="-10"/>
        </w:rPr>
        <w:t xml:space="preserve"> </w:t>
      </w:r>
      <w:r>
        <w:rPr>
          <w:color w:val="221F1F"/>
        </w:rPr>
        <w:t>in</w:t>
      </w:r>
      <w:r>
        <w:rPr>
          <w:color w:val="221F1F"/>
          <w:spacing w:val="-16"/>
        </w:rPr>
        <w:t xml:space="preserve"> </w:t>
      </w:r>
      <w:r>
        <w:rPr>
          <w:color w:val="221F1F"/>
        </w:rPr>
        <w:t>accordance</w:t>
      </w:r>
      <w:r>
        <w:rPr>
          <w:color w:val="221F1F"/>
          <w:spacing w:val="-15"/>
        </w:rPr>
        <w:t xml:space="preserve"> </w:t>
      </w:r>
      <w:r>
        <w:rPr>
          <w:color w:val="221F1F"/>
        </w:rPr>
        <w:t>with</w:t>
      </w:r>
      <w:r>
        <w:rPr>
          <w:color w:val="221F1F"/>
          <w:spacing w:val="-11"/>
        </w:rPr>
        <w:t xml:space="preserve"> </w:t>
      </w:r>
      <w:r>
        <w:rPr>
          <w:color w:val="221F1F"/>
        </w:rPr>
        <w:t>Article,</w:t>
      </w:r>
      <w:r>
        <w:rPr>
          <w:color w:val="221F1F"/>
          <w:spacing w:val="-10"/>
        </w:rPr>
        <w:t xml:space="preserve"> </w:t>
      </w:r>
      <w:r>
        <w:rPr>
          <w:color w:val="221F1F"/>
        </w:rPr>
        <w:t>Title</w:t>
      </w:r>
      <w:r>
        <w:rPr>
          <w:color w:val="221F1F"/>
          <w:spacing w:val="-15"/>
        </w:rPr>
        <w:t xml:space="preserve"> </w:t>
      </w:r>
      <w:r>
        <w:rPr>
          <w:color w:val="221F1F"/>
        </w:rPr>
        <w:t>24,</w:t>
      </w:r>
      <w:r>
        <w:rPr>
          <w:color w:val="221F1F"/>
          <w:spacing w:val="-12"/>
        </w:rPr>
        <w:t xml:space="preserve"> </w:t>
      </w:r>
      <w:r>
        <w:rPr>
          <w:color w:val="221F1F"/>
        </w:rPr>
        <w:t>Part</w:t>
      </w:r>
      <w:r>
        <w:rPr>
          <w:color w:val="221F1F"/>
          <w:spacing w:val="-14"/>
        </w:rPr>
        <w:t xml:space="preserve"> </w:t>
      </w:r>
      <w:r>
        <w:rPr>
          <w:color w:val="221F1F"/>
        </w:rPr>
        <w:t>2,</w:t>
      </w:r>
      <w:r>
        <w:rPr>
          <w:color w:val="221F1F"/>
          <w:spacing w:val="-12"/>
        </w:rPr>
        <w:t xml:space="preserve"> </w:t>
      </w:r>
      <w:r>
        <w:rPr>
          <w:color w:val="221F1F"/>
        </w:rPr>
        <w:t>CBSC, Section 01 25 13 Product Options and</w:t>
      </w:r>
      <w:r>
        <w:rPr>
          <w:color w:val="221F1F"/>
          <w:spacing w:val="-17"/>
        </w:rPr>
        <w:t xml:space="preserve"> </w:t>
      </w:r>
      <w:r>
        <w:rPr>
          <w:color w:val="221F1F"/>
        </w:rPr>
        <w:t>Substitutions.</w:t>
      </w:r>
    </w:p>
    <w:p w14:paraId="3DBF5ECC"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QUALITY</w:t>
      </w:r>
      <w:r w:rsidRPr="00960F30">
        <w:rPr>
          <w:b/>
          <w:bCs/>
          <w:color w:val="221F1F"/>
          <w:spacing w:val="-3"/>
        </w:rPr>
        <w:t xml:space="preserve"> </w:t>
      </w:r>
      <w:r w:rsidRPr="00960F30">
        <w:rPr>
          <w:b/>
          <w:bCs/>
          <w:color w:val="221F1F"/>
        </w:rPr>
        <w:t>ASSURANCE</w:t>
      </w:r>
    </w:p>
    <w:p w14:paraId="71A492C5"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Standards: In general, Work shall conform to latest edition of the following standards as applicable, and as modified</w:t>
      </w:r>
      <w:r>
        <w:rPr>
          <w:color w:val="221F1F"/>
          <w:spacing w:val="-5"/>
        </w:rPr>
        <w:t xml:space="preserve"> </w:t>
      </w:r>
      <w:r>
        <w:rPr>
          <w:color w:val="221F1F"/>
        </w:rPr>
        <w:t>herein.</w:t>
      </w:r>
    </w:p>
    <w:p w14:paraId="519F8787" w14:textId="0F6C5AAA"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Installation:</w:t>
      </w:r>
      <w:r w:rsidR="00DF02D7">
        <w:rPr>
          <w:color w:val="221F1F"/>
        </w:rPr>
        <w:t xml:space="preserve">  </w:t>
      </w:r>
      <w:r>
        <w:rPr>
          <w:color w:val="221F1F"/>
        </w:rPr>
        <w:t>Tile Council of America, Handbook for Ceramic Tile Installation.</w:t>
      </w:r>
    </w:p>
    <w:p w14:paraId="73FD3F72"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Product shall comply with current California Building Standards Commission, Title</w:t>
      </w:r>
      <w:r>
        <w:rPr>
          <w:color w:val="221F1F"/>
          <w:spacing w:val="-17"/>
        </w:rPr>
        <w:t xml:space="preserve"> </w:t>
      </w:r>
      <w:r>
        <w:rPr>
          <w:color w:val="221F1F"/>
        </w:rPr>
        <w:t>24,</w:t>
      </w:r>
      <w:r>
        <w:rPr>
          <w:color w:val="221F1F"/>
          <w:spacing w:val="-16"/>
        </w:rPr>
        <w:t xml:space="preserve"> </w:t>
      </w:r>
      <w:r>
        <w:rPr>
          <w:color w:val="221F1F"/>
        </w:rPr>
        <w:t>Part</w:t>
      </w:r>
      <w:r>
        <w:rPr>
          <w:color w:val="221F1F"/>
          <w:spacing w:val="-19"/>
        </w:rPr>
        <w:t xml:space="preserve"> </w:t>
      </w:r>
      <w:r>
        <w:rPr>
          <w:color w:val="221F1F"/>
        </w:rPr>
        <w:t>12</w:t>
      </w:r>
      <w:r>
        <w:rPr>
          <w:color w:val="221F1F"/>
          <w:spacing w:val="-19"/>
        </w:rPr>
        <w:t xml:space="preserve"> </w:t>
      </w:r>
      <w:r>
        <w:rPr>
          <w:color w:val="221F1F"/>
        </w:rPr>
        <w:t>CBSC,</w:t>
      </w:r>
      <w:r>
        <w:rPr>
          <w:color w:val="221F1F"/>
          <w:spacing w:val="-16"/>
        </w:rPr>
        <w:t xml:space="preserve"> </w:t>
      </w:r>
      <w:r>
        <w:rPr>
          <w:color w:val="221F1F"/>
        </w:rPr>
        <w:t>Chapters</w:t>
      </w:r>
      <w:r>
        <w:rPr>
          <w:color w:val="221F1F"/>
          <w:spacing w:val="-16"/>
        </w:rPr>
        <w:t xml:space="preserve"> </w:t>
      </w:r>
      <w:r>
        <w:rPr>
          <w:color w:val="221F1F"/>
        </w:rPr>
        <w:t>12-11A</w:t>
      </w:r>
      <w:r>
        <w:rPr>
          <w:color w:val="221F1F"/>
          <w:spacing w:val="-18"/>
        </w:rPr>
        <w:t xml:space="preserve"> </w:t>
      </w:r>
      <w:r>
        <w:rPr>
          <w:color w:val="221F1F"/>
        </w:rPr>
        <w:t>and</w:t>
      </w:r>
      <w:r>
        <w:rPr>
          <w:color w:val="221F1F"/>
          <w:spacing w:val="-16"/>
        </w:rPr>
        <w:t xml:space="preserve"> </w:t>
      </w:r>
      <w:r>
        <w:rPr>
          <w:color w:val="221F1F"/>
        </w:rPr>
        <w:t>12-11B,</w:t>
      </w:r>
      <w:r>
        <w:rPr>
          <w:color w:val="221F1F"/>
          <w:spacing w:val="-16"/>
        </w:rPr>
        <w:t xml:space="preserve"> </w:t>
      </w:r>
      <w:r>
        <w:rPr>
          <w:color w:val="221F1F"/>
        </w:rPr>
        <w:t>"Building</w:t>
      </w:r>
      <w:r>
        <w:rPr>
          <w:color w:val="221F1F"/>
          <w:spacing w:val="-14"/>
        </w:rPr>
        <w:t xml:space="preserve"> </w:t>
      </w:r>
      <w:r>
        <w:rPr>
          <w:color w:val="221F1F"/>
        </w:rPr>
        <w:t>and</w:t>
      </w:r>
      <w:r>
        <w:rPr>
          <w:color w:val="221F1F"/>
          <w:spacing w:val="-20"/>
        </w:rPr>
        <w:t xml:space="preserve"> </w:t>
      </w:r>
      <w:r>
        <w:rPr>
          <w:color w:val="221F1F"/>
        </w:rPr>
        <w:t>Facility</w:t>
      </w:r>
      <w:r>
        <w:rPr>
          <w:color w:val="221F1F"/>
          <w:spacing w:val="-14"/>
        </w:rPr>
        <w:t xml:space="preserve"> </w:t>
      </w:r>
      <w:r>
        <w:rPr>
          <w:color w:val="221F1F"/>
        </w:rPr>
        <w:t>Access Specifications".</w:t>
      </w:r>
    </w:p>
    <w:p w14:paraId="73C0B737"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Warranty: Five (5) year warranty from the manufacturer stating that detectable</w:t>
      </w:r>
      <w:r>
        <w:rPr>
          <w:color w:val="221F1F"/>
          <w:spacing w:val="-12"/>
        </w:rPr>
        <w:t xml:space="preserve"> </w:t>
      </w:r>
      <w:r>
        <w:rPr>
          <w:color w:val="221F1F"/>
        </w:rPr>
        <w:t>warning</w:t>
      </w:r>
      <w:r>
        <w:rPr>
          <w:color w:val="221F1F"/>
          <w:spacing w:val="-13"/>
        </w:rPr>
        <w:t xml:space="preserve"> </w:t>
      </w:r>
      <w:r>
        <w:rPr>
          <w:color w:val="221F1F"/>
        </w:rPr>
        <w:t>products</w:t>
      </w:r>
      <w:r>
        <w:rPr>
          <w:color w:val="221F1F"/>
          <w:spacing w:val="-15"/>
        </w:rPr>
        <w:t xml:space="preserve"> </w:t>
      </w:r>
      <w:r>
        <w:rPr>
          <w:color w:val="221F1F"/>
        </w:rPr>
        <w:t>and</w:t>
      </w:r>
      <w:r>
        <w:rPr>
          <w:color w:val="221F1F"/>
          <w:spacing w:val="-13"/>
        </w:rPr>
        <w:t xml:space="preserve"> </w:t>
      </w:r>
      <w:r>
        <w:rPr>
          <w:color w:val="221F1F"/>
        </w:rPr>
        <w:t>directional</w:t>
      </w:r>
      <w:r>
        <w:rPr>
          <w:color w:val="221F1F"/>
          <w:spacing w:val="-16"/>
        </w:rPr>
        <w:t xml:space="preserve"> </w:t>
      </w:r>
      <w:r>
        <w:rPr>
          <w:color w:val="221F1F"/>
        </w:rPr>
        <w:t>surfaces</w:t>
      </w:r>
      <w:r>
        <w:rPr>
          <w:color w:val="221F1F"/>
          <w:spacing w:val="-13"/>
        </w:rPr>
        <w:t xml:space="preserve"> </w:t>
      </w:r>
      <w:r>
        <w:rPr>
          <w:color w:val="221F1F"/>
        </w:rPr>
        <w:t>shall</w:t>
      </w:r>
      <w:r>
        <w:rPr>
          <w:color w:val="221F1F"/>
          <w:spacing w:val="-11"/>
        </w:rPr>
        <w:t xml:space="preserve"> </w:t>
      </w:r>
      <w:r>
        <w:rPr>
          <w:color w:val="221F1F"/>
        </w:rPr>
        <w:t>ensure</w:t>
      </w:r>
      <w:r>
        <w:rPr>
          <w:color w:val="221F1F"/>
          <w:spacing w:val="-12"/>
        </w:rPr>
        <w:t xml:space="preserve"> </w:t>
      </w:r>
      <w:r>
        <w:rPr>
          <w:color w:val="221F1F"/>
        </w:rPr>
        <w:t>consistency and uniformity of the</w:t>
      </w:r>
      <w:r>
        <w:rPr>
          <w:color w:val="221F1F"/>
          <w:spacing w:val="-9"/>
        </w:rPr>
        <w:t xml:space="preserve"> </w:t>
      </w:r>
      <w:r>
        <w:rPr>
          <w:color w:val="221F1F"/>
        </w:rPr>
        <w:t>following:</w:t>
      </w:r>
    </w:p>
    <w:p w14:paraId="4341B1EA"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Shape</w:t>
      </w:r>
    </w:p>
    <w:p w14:paraId="4A533E71"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Color</w:t>
      </w:r>
      <w:r>
        <w:rPr>
          <w:color w:val="221F1F"/>
          <w:spacing w:val="-4"/>
        </w:rPr>
        <w:t xml:space="preserve"> </w:t>
      </w:r>
      <w:r>
        <w:rPr>
          <w:color w:val="221F1F"/>
        </w:rPr>
        <w:t>Fastness</w:t>
      </w:r>
    </w:p>
    <w:p w14:paraId="768F461F"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Conformation</w:t>
      </w:r>
    </w:p>
    <w:p w14:paraId="718201A1"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Sound-on-cane acoustic</w:t>
      </w:r>
      <w:r>
        <w:rPr>
          <w:color w:val="221F1F"/>
          <w:spacing w:val="-2"/>
        </w:rPr>
        <w:t xml:space="preserve"> </w:t>
      </w:r>
      <w:r>
        <w:rPr>
          <w:color w:val="221F1F"/>
        </w:rPr>
        <w:t>equality</w:t>
      </w:r>
    </w:p>
    <w:p w14:paraId="23856CC2"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Resilience</w:t>
      </w:r>
    </w:p>
    <w:p w14:paraId="50AA1E46" w14:textId="77777777" w:rsidR="007409D5" w:rsidRDefault="00EA2327" w:rsidP="00F51208">
      <w:pPr>
        <w:pStyle w:val="ListParagraph"/>
        <w:numPr>
          <w:ilvl w:val="3"/>
          <w:numId w:val="3"/>
        </w:numPr>
        <w:tabs>
          <w:tab w:val="left" w:pos="720"/>
          <w:tab w:val="left" w:pos="1440"/>
          <w:tab w:val="left" w:pos="2160"/>
          <w:tab w:val="left" w:pos="2880"/>
          <w:tab w:val="left" w:pos="3600"/>
          <w:tab w:val="left" w:pos="4320"/>
          <w:tab w:val="left" w:pos="5040"/>
        </w:tabs>
        <w:spacing w:after="120"/>
        <w:ind w:left="2160" w:hanging="720"/>
        <w:jc w:val="both"/>
      </w:pPr>
      <w:r>
        <w:rPr>
          <w:color w:val="221F1F"/>
        </w:rPr>
        <w:t>Attachment will not degrade significantly for at least 5 years. Significant degradation shall mean that the product maintains at least 90% of its approved design</w:t>
      </w:r>
      <w:r>
        <w:rPr>
          <w:color w:val="221F1F"/>
          <w:spacing w:val="-5"/>
        </w:rPr>
        <w:t xml:space="preserve"> </w:t>
      </w:r>
      <w:r>
        <w:rPr>
          <w:color w:val="221F1F"/>
        </w:rPr>
        <w:t>characteristics.</w:t>
      </w:r>
    </w:p>
    <w:p w14:paraId="3BC59420"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Detectable warning surfaces shall comply with CBC Section</w:t>
      </w:r>
      <w:r>
        <w:rPr>
          <w:color w:val="221F1F"/>
          <w:spacing w:val="-43"/>
        </w:rPr>
        <w:t xml:space="preserve"> </w:t>
      </w:r>
      <w:r>
        <w:rPr>
          <w:color w:val="221F1F"/>
        </w:rPr>
        <w:t>11B-705.1.</w:t>
      </w:r>
    </w:p>
    <w:p w14:paraId="43E71462"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 xml:space="preserve">Detectable warning surfaces at transit boarding platform edges, bus stop, hazardous vehicular areas, reflecting pools and track crossings shall be yellow and approximate FS 33538 of Federal Standard 595C. Detectable surfaces at other locations shall be either the </w:t>
      </w:r>
      <w:proofErr w:type="gramStart"/>
      <w:r>
        <w:rPr>
          <w:color w:val="221F1F"/>
        </w:rPr>
        <w:t>aforementioned yellow</w:t>
      </w:r>
      <w:proofErr w:type="gramEnd"/>
      <w:r>
        <w:rPr>
          <w:color w:val="221F1F"/>
        </w:rPr>
        <w:t xml:space="preserve"> or a color providing a 70 percent minimum visual contrast with that of adjacent walking</w:t>
      </w:r>
      <w:r>
        <w:rPr>
          <w:color w:val="221F1F"/>
          <w:spacing w:val="5"/>
        </w:rPr>
        <w:t xml:space="preserve"> </w:t>
      </w:r>
      <w:r>
        <w:rPr>
          <w:color w:val="221F1F"/>
        </w:rPr>
        <w:t>surfaces.</w:t>
      </w:r>
    </w:p>
    <w:p w14:paraId="51A1F75B" w14:textId="75400726" w:rsidR="007409D5" w:rsidRDefault="00BD0C5E" w:rsidP="00F51208">
      <w:pPr>
        <w:pStyle w:val="BodyText"/>
        <w:tabs>
          <w:tab w:val="left" w:pos="720"/>
          <w:tab w:val="left" w:pos="1440"/>
          <w:tab w:val="left" w:pos="2160"/>
          <w:tab w:val="left" w:pos="2880"/>
          <w:tab w:val="left" w:pos="3600"/>
          <w:tab w:val="left" w:pos="4320"/>
          <w:tab w:val="left" w:pos="5040"/>
        </w:tabs>
        <w:spacing w:after="120"/>
        <w:ind w:left="1440" w:hanging="720"/>
        <w:jc w:val="both"/>
      </w:pPr>
      <w:bookmarkStart w:id="1" w:name="SPC_V2_1059"/>
      <w:bookmarkEnd w:id="1"/>
      <w:r>
        <w:rPr>
          <w:color w:val="221F1F"/>
        </w:rPr>
        <w:lastRenderedPageBreak/>
        <w:tab/>
      </w:r>
      <w:r w:rsidR="00EA2327">
        <w:rPr>
          <w:color w:val="221F1F"/>
        </w:rPr>
        <w:t>The material used to provide visual contrast shall be an integral part of the surface. CBC Section 11B-705.1.1.3.</w:t>
      </w:r>
    </w:p>
    <w:p w14:paraId="55521485"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 xml:space="preserve">Detectable warning surfaces shall differ from adjoining surfaces in saliency or sound-on-cane contact. Such constraint shall not be required for detectable warning surfaces at curb ramps, </w:t>
      </w:r>
      <w:proofErr w:type="gramStart"/>
      <w:r>
        <w:rPr>
          <w:color w:val="221F1F"/>
        </w:rPr>
        <w:t>islands</w:t>
      </w:r>
      <w:proofErr w:type="gramEnd"/>
      <w:r>
        <w:rPr>
          <w:color w:val="221F1F"/>
        </w:rPr>
        <w:t xml:space="preserve"> or cut-through medians. CBC Section 11B-7051.1.4.</w:t>
      </w:r>
    </w:p>
    <w:p w14:paraId="58E3898B"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SUBMITTALS</w:t>
      </w:r>
    </w:p>
    <w:p w14:paraId="2C207AFB"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Samples in duplicate: Manufacturer's standard color</w:t>
      </w:r>
      <w:r>
        <w:rPr>
          <w:color w:val="221F1F"/>
          <w:spacing w:val="-22"/>
        </w:rPr>
        <w:t xml:space="preserve"> </w:t>
      </w:r>
      <w:r>
        <w:rPr>
          <w:color w:val="221F1F"/>
        </w:rPr>
        <w:t>range.</w:t>
      </w:r>
    </w:p>
    <w:p w14:paraId="1BADCA3F" w14:textId="2FE515D9"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Warranties:</w:t>
      </w:r>
      <w:r>
        <w:rPr>
          <w:color w:val="221F1F"/>
        </w:rPr>
        <w:tab/>
        <w:t>Manufacturer's</w:t>
      </w:r>
      <w:r w:rsidR="00BD0C5E">
        <w:rPr>
          <w:color w:val="221F1F"/>
        </w:rPr>
        <w:t xml:space="preserve"> </w:t>
      </w:r>
      <w:r>
        <w:rPr>
          <w:color w:val="221F1F"/>
        </w:rPr>
        <w:t>standard</w:t>
      </w:r>
      <w:r w:rsidR="00BD0C5E">
        <w:rPr>
          <w:color w:val="221F1F"/>
        </w:rPr>
        <w:t xml:space="preserve"> </w:t>
      </w:r>
      <w:r>
        <w:rPr>
          <w:color w:val="221F1F"/>
        </w:rPr>
        <w:t>warranty</w:t>
      </w:r>
      <w:r w:rsidR="00BD0C5E">
        <w:rPr>
          <w:color w:val="221F1F"/>
        </w:rPr>
        <w:t xml:space="preserve"> </w:t>
      </w:r>
      <w:r>
        <w:rPr>
          <w:color w:val="221F1F"/>
        </w:rPr>
        <w:t>(</w:t>
      </w:r>
      <w:proofErr w:type="gramStart"/>
      <w:r>
        <w:rPr>
          <w:color w:val="221F1F"/>
        </w:rPr>
        <w:t>5</w:t>
      </w:r>
      <w:r w:rsidR="00BD0C5E">
        <w:rPr>
          <w:color w:val="221F1F"/>
        </w:rPr>
        <w:t xml:space="preserve"> </w:t>
      </w:r>
      <w:r>
        <w:rPr>
          <w:color w:val="221F1F"/>
        </w:rPr>
        <w:t>year</w:t>
      </w:r>
      <w:proofErr w:type="gramEnd"/>
      <w:r w:rsidR="00BD0C5E">
        <w:rPr>
          <w:color w:val="221F1F"/>
        </w:rPr>
        <w:t xml:space="preserve"> </w:t>
      </w:r>
      <w:r>
        <w:rPr>
          <w:color w:val="221F1F"/>
        </w:rPr>
        <w:t>warranty).</w:t>
      </w:r>
      <w:r w:rsidR="00BD0C5E">
        <w:rPr>
          <w:color w:val="221F1F"/>
        </w:rPr>
        <w:t xml:space="preserve">  </w:t>
      </w:r>
      <w:r>
        <w:rPr>
          <w:color w:val="221F1F"/>
        </w:rPr>
        <w:t>See requirements under 1.03, Quality Assurance of this</w:t>
      </w:r>
      <w:r>
        <w:rPr>
          <w:color w:val="221F1F"/>
          <w:spacing w:val="-9"/>
        </w:rPr>
        <w:t xml:space="preserve"> </w:t>
      </w:r>
      <w:r>
        <w:rPr>
          <w:color w:val="221F1F"/>
        </w:rPr>
        <w:t>Section.</w:t>
      </w:r>
    </w:p>
    <w:p w14:paraId="7F12C16A"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Manufacturers: Recommended installation</w:t>
      </w:r>
      <w:r>
        <w:rPr>
          <w:color w:val="221F1F"/>
          <w:spacing w:val="-9"/>
        </w:rPr>
        <w:t xml:space="preserve"> </w:t>
      </w:r>
      <w:r>
        <w:rPr>
          <w:color w:val="221F1F"/>
        </w:rPr>
        <w:t>instructions.</w:t>
      </w:r>
    </w:p>
    <w:p w14:paraId="59F8CB6B"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Shop Drawings: Showing plans of tile placement including joints for each installation location, type</w:t>
      </w:r>
      <w:r>
        <w:rPr>
          <w:color w:val="221F1F"/>
          <w:spacing w:val="2"/>
        </w:rPr>
        <w:t xml:space="preserve"> </w:t>
      </w:r>
      <w:r>
        <w:rPr>
          <w:color w:val="221F1F"/>
        </w:rPr>
        <w:t>used.</w:t>
      </w:r>
    </w:p>
    <w:p w14:paraId="04F2BA18"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Material: Test</w:t>
      </w:r>
      <w:r>
        <w:rPr>
          <w:color w:val="221F1F"/>
          <w:spacing w:val="-5"/>
        </w:rPr>
        <w:t xml:space="preserve"> </w:t>
      </w:r>
      <w:r>
        <w:rPr>
          <w:color w:val="221F1F"/>
        </w:rPr>
        <w:t>reports.</w:t>
      </w:r>
    </w:p>
    <w:p w14:paraId="396FBBD8"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Maintenance</w:t>
      </w:r>
      <w:r>
        <w:rPr>
          <w:color w:val="221F1F"/>
          <w:spacing w:val="-25"/>
        </w:rPr>
        <w:t xml:space="preserve"> </w:t>
      </w:r>
      <w:r>
        <w:rPr>
          <w:color w:val="221F1F"/>
        </w:rPr>
        <w:t>Instructions.</w:t>
      </w:r>
    </w:p>
    <w:p w14:paraId="48297B34"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DELIVERY, STORAGE AND</w:t>
      </w:r>
      <w:r w:rsidRPr="00960F30">
        <w:rPr>
          <w:b/>
          <w:bCs/>
          <w:color w:val="221F1F"/>
          <w:spacing w:val="-28"/>
        </w:rPr>
        <w:t xml:space="preserve"> </w:t>
      </w:r>
      <w:r w:rsidRPr="00960F30">
        <w:rPr>
          <w:b/>
          <w:bCs/>
          <w:color w:val="221F1F"/>
        </w:rPr>
        <w:t>HANDLING</w:t>
      </w:r>
    </w:p>
    <w:p w14:paraId="7A685693" w14:textId="1EFCC170" w:rsidR="007409D5" w:rsidRDefault="00BD0C5E" w:rsidP="00F51208">
      <w:pPr>
        <w:pStyle w:val="BodyText"/>
        <w:tabs>
          <w:tab w:val="left" w:pos="720"/>
          <w:tab w:val="left" w:pos="1440"/>
          <w:tab w:val="left" w:pos="2160"/>
          <w:tab w:val="left" w:pos="2880"/>
          <w:tab w:val="left" w:pos="3600"/>
          <w:tab w:val="left" w:pos="4320"/>
          <w:tab w:val="left" w:pos="5040"/>
        </w:tabs>
        <w:spacing w:after="120"/>
        <w:ind w:left="720" w:hanging="720"/>
        <w:jc w:val="both"/>
      </w:pPr>
      <w:r>
        <w:rPr>
          <w:color w:val="221F1F"/>
        </w:rPr>
        <w:tab/>
      </w:r>
      <w:r w:rsidR="00EA2327">
        <w:rPr>
          <w:color w:val="221F1F"/>
        </w:rPr>
        <w:t>Deliver tile to Site in sealed containers with grade seals intact. Store materials in a dry location.</w:t>
      </w:r>
    </w:p>
    <w:p w14:paraId="7588118A" w14:textId="77777777" w:rsidR="007409D5" w:rsidRPr="00960F30" w:rsidRDefault="00EA2327" w:rsidP="00F51208">
      <w:pPr>
        <w:pStyle w:val="ListParagraph"/>
        <w:numPr>
          <w:ilvl w:val="1"/>
          <w:numId w:val="3"/>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PROJECT</w:t>
      </w:r>
      <w:r w:rsidRPr="00960F30">
        <w:rPr>
          <w:b/>
          <w:bCs/>
          <w:color w:val="221F1F"/>
          <w:spacing w:val="-9"/>
        </w:rPr>
        <w:t xml:space="preserve"> </w:t>
      </w:r>
      <w:r w:rsidRPr="00960F30">
        <w:rPr>
          <w:b/>
          <w:bCs/>
          <w:color w:val="221F1F"/>
        </w:rPr>
        <w:t>CONDITIONS</w:t>
      </w:r>
    </w:p>
    <w:p w14:paraId="61F0DF89" w14:textId="7F72F70C"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Coordinate</w:t>
      </w:r>
      <w:r w:rsidR="00BD0C5E">
        <w:rPr>
          <w:color w:val="221F1F"/>
        </w:rPr>
        <w:t xml:space="preserve"> </w:t>
      </w:r>
      <w:r>
        <w:rPr>
          <w:color w:val="221F1F"/>
        </w:rPr>
        <w:t>this</w:t>
      </w:r>
      <w:r w:rsidR="00BD0C5E">
        <w:rPr>
          <w:color w:val="221F1F"/>
        </w:rPr>
        <w:t xml:space="preserve"> </w:t>
      </w:r>
      <w:r>
        <w:rPr>
          <w:color w:val="221F1F"/>
        </w:rPr>
        <w:t>work</w:t>
      </w:r>
      <w:r w:rsidR="00050D80">
        <w:rPr>
          <w:color w:val="221F1F"/>
        </w:rPr>
        <w:t xml:space="preserve"> </w:t>
      </w:r>
      <w:r>
        <w:rPr>
          <w:color w:val="221F1F"/>
        </w:rPr>
        <w:t>with</w:t>
      </w:r>
      <w:r w:rsidR="00050D80">
        <w:rPr>
          <w:color w:val="221F1F"/>
        </w:rPr>
        <w:t xml:space="preserve"> </w:t>
      </w:r>
      <w:r>
        <w:rPr>
          <w:color w:val="221F1F"/>
        </w:rPr>
        <w:t>work</w:t>
      </w:r>
      <w:r w:rsidR="00050D80">
        <w:rPr>
          <w:color w:val="221F1F"/>
        </w:rPr>
        <w:t xml:space="preserve"> </w:t>
      </w:r>
      <w:r>
        <w:rPr>
          <w:color w:val="221F1F"/>
        </w:rPr>
        <w:t xml:space="preserve">and  </w:t>
      </w:r>
      <w:r>
        <w:rPr>
          <w:color w:val="221F1F"/>
          <w:spacing w:val="49"/>
        </w:rPr>
        <w:t xml:space="preserve"> </w:t>
      </w:r>
      <w:r>
        <w:rPr>
          <w:color w:val="221F1F"/>
        </w:rPr>
        <w:t xml:space="preserve">backing  </w:t>
      </w:r>
      <w:r>
        <w:rPr>
          <w:color w:val="221F1F"/>
          <w:spacing w:val="17"/>
        </w:rPr>
        <w:t xml:space="preserve"> </w:t>
      </w:r>
      <w:r>
        <w:rPr>
          <w:color w:val="221F1F"/>
        </w:rPr>
        <w:t>furnished</w:t>
      </w:r>
      <w:r>
        <w:rPr>
          <w:color w:val="221F1F"/>
        </w:rPr>
        <w:tab/>
        <w:t>under</w:t>
      </w:r>
      <w:r>
        <w:rPr>
          <w:color w:val="221F1F"/>
        </w:rPr>
        <w:tab/>
      </w:r>
      <w:r>
        <w:rPr>
          <w:color w:val="221F1F"/>
          <w:spacing w:val="-1"/>
        </w:rPr>
        <w:t xml:space="preserve">other </w:t>
      </w:r>
      <w:r>
        <w:rPr>
          <w:color w:val="221F1F"/>
        </w:rPr>
        <w:t>Specifications Sections.</w:t>
      </w:r>
    </w:p>
    <w:p w14:paraId="09D38CCC" w14:textId="77777777" w:rsidR="007409D5" w:rsidRDefault="00EA2327" w:rsidP="00F51208">
      <w:pPr>
        <w:pStyle w:val="ListParagraph"/>
        <w:numPr>
          <w:ilvl w:val="2"/>
          <w:numId w:val="3"/>
        </w:numPr>
        <w:tabs>
          <w:tab w:val="left" w:pos="720"/>
          <w:tab w:val="left" w:pos="1440"/>
          <w:tab w:val="left" w:pos="2160"/>
          <w:tab w:val="left" w:pos="2880"/>
          <w:tab w:val="left" w:pos="3600"/>
          <w:tab w:val="left" w:pos="4320"/>
          <w:tab w:val="left" w:pos="5040"/>
        </w:tabs>
        <w:spacing w:after="120"/>
        <w:ind w:left="1440" w:hanging="720"/>
        <w:jc w:val="both"/>
      </w:pPr>
      <w:r>
        <w:rPr>
          <w:color w:val="221F1F"/>
        </w:rPr>
        <w:t>Placement of tactile surfaces shall coincide with concrete curb ramps and concrete paving leading to a vehicular traffic lane pedestrian</w:t>
      </w:r>
      <w:r>
        <w:rPr>
          <w:color w:val="221F1F"/>
          <w:spacing w:val="-23"/>
        </w:rPr>
        <w:t xml:space="preserve"> </w:t>
      </w:r>
      <w:r>
        <w:rPr>
          <w:color w:val="221F1F"/>
        </w:rPr>
        <w:t>crossing.</w:t>
      </w:r>
    </w:p>
    <w:p w14:paraId="426E280F" w14:textId="77777777" w:rsidR="007409D5" w:rsidRPr="00960F30" w:rsidRDefault="00EA2327" w:rsidP="00F51208">
      <w:pPr>
        <w:pStyle w:val="BodyText"/>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PART 2 - PRODUCTS</w:t>
      </w:r>
    </w:p>
    <w:p w14:paraId="7E5E476F" w14:textId="77777777" w:rsidR="007409D5" w:rsidRPr="00960F30" w:rsidRDefault="00EA2327" w:rsidP="00F51208">
      <w:pPr>
        <w:pStyle w:val="ListParagraph"/>
        <w:numPr>
          <w:ilvl w:val="1"/>
          <w:numId w:val="2"/>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MATERIALS</w:t>
      </w:r>
    </w:p>
    <w:p w14:paraId="01E772A0" w14:textId="77777777" w:rsidR="007409D5" w:rsidRDefault="00EA2327" w:rsidP="00F51208">
      <w:pPr>
        <w:pStyle w:val="ListParagraph"/>
        <w:numPr>
          <w:ilvl w:val="2"/>
          <w:numId w:val="2"/>
        </w:numPr>
        <w:tabs>
          <w:tab w:val="left" w:pos="720"/>
          <w:tab w:val="left" w:pos="1440"/>
          <w:tab w:val="left" w:pos="2160"/>
          <w:tab w:val="left" w:pos="2880"/>
          <w:tab w:val="left" w:pos="3600"/>
          <w:tab w:val="left" w:pos="4320"/>
          <w:tab w:val="left" w:pos="5040"/>
        </w:tabs>
        <w:spacing w:after="120"/>
        <w:ind w:left="1440" w:hanging="720"/>
        <w:jc w:val="both"/>
      </w:pPr>
      <w:r>
        <w:rPr>
          <w:color w:val="221F1F"/>
        </w:rPr>
        <w:t>Tile: Conform to Americans with Disabilities Act and CBC Section 11B-705 (Part 2, Title 24), latest edition. Tile to be standard grade; manufactured by Wausau Tile, Inc., Wausau, WI; 800-388-8728, or approved</w:t>
      </w:r>
      <w:r>
        <w:rPr>
          <w:color w:val="221F1F"/>
          <w:spacing w:val="-1"/>
        </w:rPr>
        <w:t xml:space="preserve"> </w:t>
      </w:r>
      <w:r>
        <w:rPr>
          <w:color w:val="221F1F"/>
        </w:rPr>
        <w:t>equivalent.</w:t>
      </w:r>
    </w:p>
    <w:p w14:paraId="27251CFF"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Other Acceptable</w:t>
      </w:r>
      <w:r>
        <w:rPr>
          <w:color w:val="221F1F"/>
          <w:spacing w:val="-9"/>
        </w:rPr>
        <w:t xml:space="preserve"> </w:t>
      </w:r>
      <w:r>
        <w:rPr>
          <w:color w:val="221F1F"/>
        </w:rPr>
        <w:t>Manufacturers:</w:t>
      </w:r>
    </w:p>
    <w:p w14:paraId="55D6374F"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ADA Solutions Inc.;</w:t>
      </w:r>
      <w:r>
        <w:rPr>
          <w:color w:val="221F1F"/>
          <w:spacing w:val="-10"/>
        </w:rPr>
        <w:t xml:space="preserve"> </w:t>
      </w:r>
      <w:r>
        <w:rPr>
          <w:color w:val="221F1F"/>
        </w:rPr>
        <w:t>800-372-0519.</w:t>
      </w:r>
    </w:p>
    <w:p w14:paraId="4E09186D" w14:textId="77777777" w:rsidR="007409D5" w:rsidRDefault="00EA2327" w:rsidP="00F51208">
      <w:pPr>
        <w:pStyle w:val="ListParagraph"/>
        <w:numPr>
          <w:ilvl w:val="2"/>
          <w:numId w:val="2"/>
        </w:numPr>
        <w:tabs>
          <w:tab w:val="left" w:pos="720"/>
          <w:tab w:val="left" w:pos="1440"/>
          <w:tab w:val="left" w:pos="2160"/>
          <w:tab w:val="left" w:pos="2880"/>
          <w:tab w:val="left" w:pos="3600"/>
          <w:tab w:val="left" w:pos="4320"/>
          <w:tab w:val="left" w:pos="5040"/>
        </w:tabs>
        <w:spacing w:after="120"/>
        <w:ind w:left="1440" w:hanging="720"/>
        <w:jc w:val="both"/>
      </w:pPr>
      <w:bookmarkStart w:id="2" w:name="SPC_V2_1060"/>
      <w:bookmarkEnd w:id="2"/>
      <w:r>
        <w:rPr>
          <w:color w:val="221F1F"/>
        </w:rPr>
        <w:t>Materials:</w:t>
      </w:r>
    </w:p>
    <w:p w14:paraId="4DFAE616"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Tile Size:</w:t>
      </w:r>
    </w:p>
    <w:p w14:paraId="2D59C7B0"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Nominal: 12" square. b.</w:t>
      </w:r>
      <w:r>
        <w:rPr>
          <w:color w:val="221F1F"/>
        </w:rPr>
        <w:tab/>
        <w:t>Actual:</w:t>
      </w:r>
      <w:r>
        <w:rPr>
          <w:color w:val="221F1F"/>
          <w:spacing w:val="57"/>
        </w:rPr>
        <w:t xml:space="preserve"> </w:t>
      </w:r>
      <w:r>
        <w:rPr>
          <w:color w:val="221F1F"/>
        </w:rPr>
        <w:t>11-13/16"</w:t>
      </w:r>
    </w:p>
    <w:p w14:paraId="684E81C7"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Thickness:</w:t>
      </w:r>
      <w:r>
        <w:rPr>
          <w:color w:val="221F1F"/>
          <w:spacing w:val="57"/>
        </w:rPr>
        <w:t xml:space="preserve"> </w:t>
      </w:r>
      <w:r>
        <w:rPr>
          <w:color w:val="221F1F"/>
        </w:rPr>
        <w:t>2-3/4"</w:t>
      </w:r>
    </w:p>
    <w:p w14:paraId="26D59D24"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Weight: 24 to 32-1/2 lbs./sq.</w:t>
      </w:r>
      <w:r>
        <w:rPr>
          <w:color w:val="221F1F"/>
          <w:spacing w:val="-11"/>
        </w:rPr>
        <w:t xml:space="preserve"> </w:t>
      </w:r>
      <w:r>
        <w:rPr>
          <w:color w:val="221F1F"/>
        </w:rPr>
        <w:t>ft.</w:t>
      </w:r>
    </w:p>
    <w:p w14:paraId="12C95CA4" w14:textId="77777777" w:rsidR="00A14CF1" w:rsidRDefault="00A14CF1" w:rsidP="00F51208">
      <w:pPr>
        <w:jc w:val="both"/>
        <w:rPr>
          <w:color w:val="221F1F"/>
        </w:rPr>
      </w:pPr>
      <w:r>
        <w:rPr>
          <w:color w:val="221F1F"/>
        </w:rPr>
        <w:br w:type="page"/>
      </w:r>
    </w:p>
    <w:p w14:paraId="6BFA2C7E" w14:textId="4D364AA5"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lastRenderedPageBreak/>
        <w:t>Dimensional</w:t>
      </w:r>
      <w:r>
        <w:rPr>
          <w:color w:val="221F1F"/>
          <w:spacing w:val="40"/>
        </w:rPr>
        <w:t xml:space="preserve"> </w:t>
      </w:r>
      <w:r>
        <w:rPr>
          <w:color w:val="221F1F"/>
        </w:rPr>
        <w:t>Tolerance:</w:t>
      </w:r>
      <w:r w:rsidR="00F51208">
        <w:rPr>
          <w:color w:val="221F1F"/>
        </w:rPr>
        <w:t xml:space="preserve">  </w:t>
      </w:r>
      <w:r>
        <w:rPr>
          <w:color w:val="221F1F"/>
        </w:rPr>
        <w:t>+/- 1/16" (length, width, height, convex, and concave).</w:t>
      </w:r>
    </w:p>
    <w:p w14:paraId="7789C360"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Color: As selected by Architect from manufacturer's full range of colors and</w:t>
      </w:r>
      <w:r>
        <w:rPr>
          <w:color w:val="221F1F"/>
          <w:spacing w:val="-2"/>
        </w:rPr>
        <w:t xml:space="preserve"> </w:t>
      </w:r>
      <w:r>
        <w:rPr>
          <w:color w:val="221F1F"/>
        </w:rPr>
        <w:t>patterns.</w:t>
      </w:r>
    </w:p>
    <w:p w14:paraId="7B191F66"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Pattern: ADA-2 Truncated Dome, 5 domes each side of</w:t>
      </w:r>
      <w:r>
        <w:rPr>
          <w:color w:val="221F1F"/>
          <w:spacing w:val="-27"/>
        </w:rPr>
        <w:t xml:space="preserve"> </w:t>
      </w:r>
      <w:r>
        <w:rPr>
          <w:color w:val="221F1F"/>
        </w:rPr>
        <w:t>tile.</w:t>
      </w:r>
    </w:p>
    <w:p w14:paraId="0DD6910E"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Spacing: 2.3" to 2.4" nominal center of domes in both</w:t>
      </w:r>
      <w:r>
        <w:rPr>
          <w:color w:val="221F1F"/>
          <w:spacing w:val="-39"/>
        </w:rPr>
        <w:t xml:space="preserve"> </w:t>
      </w:r>
      <w:r>
        <w:rPr>
          <w:color w:val="221F1F"/>
        </w:rPr>
        <w:t>directions.</w:t>
      </w:r>
    </w:p>
    <w:p w14:paraId="7B878971"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Dome diameter to be 0.9" to 0.92" at base and 0.45" to 0.47" at top of dome.</w:t>
      </w:r>
    </w:p>
    <w:p w14:paraId="19B0BF92"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Height of dome: 0.18" to</w:t>
      </w:r>
      <w:r>
        <w:rPr>
          <w:color w:val="221F1F"/>
          <w:spacing w:val="-14"/>
        </w:rPr>
        <w:t xml:space="preserve"> </w:t>
      </w:r>
      <w:r>
        <w:rPr>
          <w:color w:val="221F1F"/>
        </w:rPr>
        <w:t>0.22"</w:t>
      </w:r>
    </w:p>
    <w:p w14:paraId="2CB1FFE9"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Minimum physical properties of the detectable/tactile</w:t>
      </w:r>
      <w:r>
        <w:rPr>
          <w:color w:val="221F1F"/>
          <w:spacing w:val="-23"/>
        </w:rPr>
        <w:t xml:space="preserve"> </w:t>
      </w:r>
      <w:r>
        <w:rPr>
          <w:color w:val="221F1F"/>
        </w:rPr>
        <w:t>surfaces:</w:t>
      </w:r>
    </w:p>
    <w:p w14:paraId="43B34624"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Compressive Strength - ASTM C140/C140M-13 equal to or greater than</w:t>
      </w:r>
      <w:r>
        <w:rPr>
          <w:color w:val="221F1F"/>
        </w:rPr>
        <w:tab/>
        <w:t>8,000</w:t>
      </w:r>
      <w:r>
        <w:rPr>
          <w:color w:val="221F1F"/>
          <w:spacing w:val="-4"/>
        </w:rPr>
        <w:t xml:space="preserve"> </w:t>
      </w:r>
      <w:r>
        <w:rPr>
          <w:color w:val="221F1F"/>
        </w:rPr>
        <w:t>psi.</w:t>
      </w:r>
    </w:p>
    <w:p w14:paraId="4F96AB45"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Flexural</w:t>
      </w:r>
      <w:r>
        <w:rPr>
          <w:color w:val="221F1F"/>
          <w:spacing w:val="-17"/>
        </w:rPr>
        <w:t xml:space="preserve"> </w:t>
      </w:r>
      <w:r>
        <w:rPr>
          <w:color w:val="221F1F"/>
        </w:rPr>
        <w:t>Strength</w:t>
      </w:r>
      <w:r>
        <w:rPr>
          <w:color w:val="221F1F"/>
          <w:spacing w:val="-21"/>
        </w:rPr>
        <w:t xml:space="preserve"> </w:t>
      </w:r>
      <w:r>
        <w:rPr>
          <w:color w:val="221F1F"/>
        </w:rPr>
        <w:t>-</w:t>
      </w:r>
      <w:r>
        <w:rPr>
          <w:color w:val="221F1F"/>
          <w:spacing w:val="-15"/>
        </w:rPr>
        <w:t xml:space="preserve"> </w:t>
      </w:r>
      <w:r>
        <w:rPr>
          <w:color w:val="221F1F"/>
        </w:rPr>
        <w:t>ASTM</w:t>
      </w:r>
      <w:r>
        <w:rPr>
          <w:color w:val="221F1F"/>
          <w:spacing w:val="-15"/>
        </w:rPr>
        <w:t xml:space="preserve"> </w:t>
      </w:r>
      <w:r>
        <w:rPr>
          <w:color w:val="221F1F"/>
        </w:rPr>
        <w:t>C293/C293M-10</w:t>
      </w:r>
      <w:r>
        <w:rPr>
          <w:color w:val="221F1F"/>
          <w:spacing w:val="-15"/>
        </w:rPr>
        <w:t xml:space="preserve"> </w:t>
      </w:r>
      <w:r>
        <w:rPr>
          <w:color w:val="221F1F"/>
        </w:rPr>
        <w:t>equal</w:t>
      </w:r>
      <w:r>
        <w:rPr>
          <w:color w:val="221F1F"/>
          <w:spacing w:val="-16"/>
        </w:rPr>
        <w:t xml:space="preserve"> </w:t>
      </w:r>
      <w:r>
        <w:rPr>
          <w:color w:val="221F1F"/>
        </w:rPr>
        <w:t>to</w:t>
      </w:r>
      <w:r>
        <w:rPr>
          <w:color w:val="221F1F"/>
          <w:spacing w:val="-15"/>
        </w:rPr>
        <w:t xml:space="preserve"> </w:t>
      </w:r>
      <w:r>
        <w:rPr>
          <w:color w:val="221F1F"/>
        </w:rPr>
        <w:t>or</w:t>
      </w:r>
      <w:r>
        <w:rPr>
          <w:color w:val="221F1F"/>
          <w:spacing w:val="-18"/>
        </w:rPr>
        <w:t xml:space="preserve"> </w:t>
      </w:r>
      <w:r>
        <w:rPr>
          <w:color w:val="221F1F"/>
        </w:rPr>
        <w:t>greater</w:t>
      </w:r>
      <w:r>
        <w:rPr>
          <w:color w:val="221F1F"/>
          <w:spacing w:val="-15"/>
        </w:rPr>
        <w:t xml:space="preserve"> </w:t>
      </w:r>
      <w:r>
        <w:rPr>
          <w:color w:val="221F1F"/>
        </w:rPr>
        <w:t>than</w:t>
      </w:r>
      <w:r>
        <w:rPr>
          <w:color w:val="221F1F"/>
          <w:spacing w:val="-16"/>
        </w:rPr>
        <w:t xml:space="preserve"> </w:t>
      </w:r>
      <w:r>
        <w:rPr>
          <w:color w:val="221F1F"/>
        </w:rPr>
        <w:t>800 psi</w:t>
      </w:r>
      <w:r>
        <w:rPr>
          <w:color w:val="221F1F"/>
          <w:spacing w:val="-3"/>
        </w:rPr>
        <w:t xml:space="preserve"> </w:t>
      </w:r>
      <w:r>
        <w:rPr>
          <w:color w:val="221F1F"/>
        </w:rPr>
        <w:t>average.</w:t>
      </w:r>
    </w:p>
    <w:p w14:paraId="623547E3"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Water Absorption - ASTM C140/C140M-13a less than</w:t>
      </w:r>
      <w:r>
        <w:rPr>
          <w:color w:val="221F1F"/>
          <w:spacing w:val="-21"/>
        </w:rPr>
        <w:t xml:space="preserve"> </w:t>
      </w:r>
      <w:r>
        <w:rPr>
          <w:color w:val="221F1F"/>
        </w:rPr>
        <w:t>6%.</w:t>
      </w:r>
    </w:p>
    <w:p w14:paraId="3113B6CB"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Freeze/Thaw: ASTM C67-13 equal or less than 1% loss of dry weight (50</w:t>
      </w:r>
      <w:r>
        <w:rPr>
          <w:color w:val="221F1F"/>
          <w:spacing w:val="-4"/>
        </w:rPr>
        <w:t xml:space="preserve"> </w:t>
      </w:r>
      <w:r>
        <w:rPr>
          <w:color w:val="221F1F"/>
        </w:rPr>
        <w:t>cycles)</w:t>
      </w:r>
    </w:p>
    <w:p w14:paraId="5C584FBA"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Center Load: WTCL99 = 1,850</w:t>
      </w:r>
      <w:r>
        <w:rPr>
          <w:color w:val="221F1F"/>
          <w:spacing w:val="-20"/>
        </w:rPr>
        <w:t xml:space="preserve"> </w:t>
      </w:r>
      <w:r>
        <w:rPr>
          <w:color w:val="221F1F"/>
        </w:rPr>
        <w:t>pounds</w:t>
      </w:r>
    </w:p>
    <w:p w14:paraId="42F7856F"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Warranty: See 1.03 B and C of this</w:t>
      </w:r>
      <w:r>
        <w:rPr>
          <w:color w:val="221F1F"/>
          <w:spacing w:val="-15"/>
        </w:rPr>
        <w:t xml:space="preserve"> </w:t>
      </w:r>
      <w:r>
        <w:rPr>
          <w:color w:val="221F1F"/>
        </w:rPr>
        <w:t>section.</w:t>
      </w:r>
    </w:p>
    <w:p w14:paraId="645757CB" w14:textId="77777777" w:rsidR="007409D5" w:rsidRDefault="00EA2327" w:rsidP="00F51208">
      <w:pPr>
        <w:pStyle w:val="ListParagraph"/>
        <w:numPr>
          <w:ilvl w:val="2"/>
          <w:numId w:val="2"/>
        </w:numPr>
        <w:tabs>
          <w:tab w:val="left" w:pos="720"/>
          <w:tab w:val="left" w:pos="1440"/>
          <w:tab w:val="left" w:pos="2160"/>
          <w:tab w:val="left" w:pos="2880"/>
          <w:tab w:val="left" w:pos="3600"/>
          <w:tab w:val="left" w:pos="4320"/>
          <w:tab w:val="left" w:pos="5040"/>
        </w:tabs>
        <w:spacing w:after="120"/>
        <w:ind w:left="1440" w:hanging="720"/>
        <w:jc w:val="both"/>
      </w:pPr>
      <w:r>
        <w:rPr>
          <w:color w:val="221F1F"/>
        </w:rPr>
        <w:t>Setting Bed (for thick mortar</w:t>
      </w:r>
      <w:r>
        <w:rPr>
          <w:color w:val="221F1F"/>
          <w:spacing w:val="-18"/>
        </w:rPr>
        <w:t xml:space="preserve"> </w:t>
      </w:r>
      <w:r>
        <w:rPr>
          <w:color w:val="221F1F"/>
        </w:rPr>
        <w:t>method):</w:t>
      </w:r>
    </w:p>
    <w:p w14:paraId="05D00561"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8" to 12" compacted road grade gravel (#6),</w:t>
      </w:r>
      <w:r>
        <w:rPr>
          <w:color w:val="221F1F"/>
          <w:spacing w:val="-15"/>
        </w:rPr>
        <w:t xml:space="preserve"> </w:t>
      </w:r>
      <w:r>
        <w:rPr>
          <w:color w:val="221F1F"/>
        </w:rPr>
        <w:t>sub-base.</w:t>
      </w:r>
    </w:p>
    <w:p w14:paraId="186B0CAB"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6" to 8" concrete</w:t>
      </w:r>
      <w:r>
        <w:rPr>
          <w:color w:val="221F1F"/>
          <w:spacing w:val="-8"/>
        </w:rPr>
        <w:t xml:space="preserve"> </w:t>
      </w:r>
      <w:r>
        <w:rPr>
          <w:color w:val="221F1F"/>
        </w:rPr>
        <w:t>base.</w:t>
      </w:r>
    </w:p>
    <w:p w14:paraId="5DD1B8F6"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1-1/4" thick latex mortar bed with 2" x 2" - 16/16 welded galvanized wire mesh reinforcing per manufacturer's</w:t>
      </w:r>
      <w:r>
        <w:rPr>
          <w:color w:val="221F1F"/>
          <w:spacing w:val="-8"/>
        </w:rPr>
        <w:t xml:space="preserve"> </w:t>
      </w:r>
      <w:r>
        <w:rPr>
          <w:color w:val="221F1F"/>
        </w:rPr>
        <w:t>requirements.</w:t>
      </w:r>
    </w:p>
    <w:p w14:paraId="51B1A216"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Portland cement mortar mix: ASTM C150/C150M-12, Laticrete 226, thick bed mortar with #3701 Admix, or manufacturer approved</w:t>
      </w:r>
      <w:r>
        <w:rPr>
          <w:color w:val="221F1F"/>
          <w:spacing w:val="-33"/>
        </w:rPr>
        <w:t xml:space="preserve"> </w:t>
      </w:r>
      <w:r>
        <w:rPr>
          <w:color w:val="221F1F"/>
        </w:rPr>
        <w:t>equivalent.</w:t>
      </w:r>
    </w:p>
    <w:p w14:paraId="26A41556"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Slurry Bond Coats: Laticrete International 4237 bond coat or approved equivalent per manufacturer's approved recommendations. Provide slurry</w:t>
      </w:r>
      <w:r>
        <w:rPr>
          <w:color w:val="221F1F"/>
          <w:spacing w:val="-11"/>
        </w:rPr>
        <w:t xml:space="preserve"> </w:t>
      </w:r>
      <w:r>
        <w:rPr>
          <w:color w:val="221F1F"/>
        </w:rPr>
        <w:t>bond</w:t>
      </w:r>
      <w:r>
        <w:rPr>
          <w:color w:val="221F1F"/>
          <w:spacing w:val="-12"/>
        </w:rPr>
        <w:t xml:space="preserve"> </w:t>
      </w:r>
      <w:r>
        <w:rPr>
          <w:color w:val="221F1F"/>
        </w:rPr>
        <w:t>coat</w:t>
      </w:r>
      <w:r>
        <w:rPr>
          <w:color w:val="221F1F"/>
          <w:spacing w:val="-9"/>
        </w:rPr>
        <w:t xml:space="preserve"> </w:t>
      </w:r>
      <w:r>
        <w:rPr>
          <w:color w:val="221F1F"/>
        </w:rPr>
        <w:t>beneath</w:t>
      </w:r>
      <w:r>
        <w:rPr>
          <w:color w:val="221F1F"/>
          <w:spacing w:val="-7"/>
        </w:rPr>
        <w:t xml:space="preserve"> </w:t>
      </w:r>
      <w:r>
        <w:rPr>
          <w:color w:val="221F1F"/>
        </w:rPr>
        <w:t>and</w:t>
      </w:r>
      <w:r>
        <w:rPr>
          <w:color w:val="221F1F"/>
          <w:spacing w:val="-9"/>
        </w:rPr>
        <w:t xml:space="preserve"> </w:t>
      </w:r>
      <w:r>
        <w:rPr>
          <w:color w:val="221F1F"/>
        </w:rPr>
        <w:t>above</w:t>
      </w:r>
      <w:r>
        <w:rPr>
          <w:color w:val="221F1F"/>
          <w:spacing w:val="-9"/>
        </w:rPr>
        <w:t xml:space="preserve"> </w:t>
      </w:r>
      <w:r>
        <w:rPr>
          <w:color w:val="221F1F"/>
        </w:rPr>
        <w:t>mortar</w:t>
      </w:r>
      <w:r>
        <w:rPr>
          <w:color w:val="221F1F"/>
          <w:spacing w:val="-11"/>
        </w:rPr>
        <w:t xml:space="preserve"> </w:t>
      </w:r>
      <w:r>
        <w:rPr>
          <w:color w:val="221F1F"/>
        </w:rPr>
        <w:t>bed.</w:t>
      </w:r>
      <w:r>
        <w:rPr>
          <w:color w:val="221F1F"/>
          <w:spacing w:val="42"/>
        </w:rPr>
        <w:t xml:space="preserve"> </w:t>
      </w:r>
      <w:r>
        <w:rPr>
          <w:color w:val="221F1F"/>
        </w:rPr>
        <w:t>A</w:t>
      </w:r>
      <w:r>
        <w:rPr>
          <w:color w:val="221F1F"/>
          <w:spacing w:val="-10"/>
        </w:rPr>
        <w:t xml:space="preserve"> </w:t>
      </w:r>
      <w:r>
        <w:rPr>
          <w:color w:val="221F1F"/>
        </w:rPr>
        <w:t>100%</w:t>
      </w:r>
      <w:r>
        <w:rPr>
          <w:color w:val="221F1F"/>
          <w:spacing w:val="-9"/>
        </w:rPr>
        <w:t xml:space="preserve"> </w:t>
      </w:r>
      <w:r>
        <w:rPr>
          <w:color w:val="221F1F"/>
        </w:rPr>
        <w:t>bond</w:t>
      </w:r>
      <w:r>
        <w:rPr>
          <w:color w:val="221F1F"/>
          <w:spacing w:val="-15"/>
        </w:rPr>
        <w:t xml:space="preserve"> </w:t>
      </w:r>
      <w:r>
        <w:rPr>
          <w:color w:val="221F1F"/>
          <w:spacing w:val="-4"/>
        </w:rPr>
        <w:t xml:space="preserve">between </w:t>
      </w:r>
      <w:r>
        <w:rPr>
          <w:color w:val="221F1F"/>
        </w:rPr>
        <w:t xml:space="preserve">tile and setting bed is required. To achieve this, the "back butter" </w:t>
      </w:r>
      <w:r>
        <w:rPr>
          <w:color w:val="221F1F"/>
          <w:spacing w:val="-4"/>
        </w:rPr>
        <w:t xml:space="preserve">method </w:t>
      </w:r>
      <w:r>
        <w:rPr>
          <w:color w:val="221F1F"/>
        </w:rPr>
        <w:t>and a 3/8" x 1/2" notched trowel shall be used per manufacturer's instructions.</w:t>
      </w:r>
    </w:p>
    <w:p w14:paraId="7FD35AEE" w14:textId="77777777"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t>Grout: All joints shall be grouted using a latex or acrylic admixture for waterproofing. The use recommendations of the admixture manufacturer must be</w:t>
      </w:r>
      <w:r>
        <w:rPr>
          <w:color w:val="221F1F"/>
          <w:spacing w:val="-8"/>
        </w:rPr>
        <w:t xml:space="preserve"> </w:t>
      </w:r>
      <w:r>
        <w:rPr>
          <w:color w:val="221F1F"/>
        </w:rPr>
        <w:t>followed.</w:t>
      </w:r>
    </w:p>
    <w:p w14:paraId="30ACFBA9" w14:textId="77777777" w:rsidR="00F51208" w:rsidRDefault="00F51208">
      <w:pPr>
        <w:rPr>
          <w:color w:val="221F1F"/>
        </w:rPr>
      </w:pPr>
      <w:r>
        <w:rPr>
          <w:color w:val="221F1F"/>
        </w:rPr>
        <w:br w:type="page"/>
      </w:r>
    </w:p>
    <w:p w14:paraId="6A5462BB" w14:textId="5F32888A" w:rsidR="007409D5" w:rsidRDefault="00EA2327" w:rsidP="00F51208">
      <w:pPr>
        <w:pStyle w:val="ListParagraph"/>
        <w:numPr>
          <w:ilvl w:val="3"/>
          <w:numId w:val="2"/>
        </w:numPr>
        <w:tabs>
          <w:tab w:val="left" w:pos="720"/>
          <w:tab w:val="left" w:pos="1440"/>
          <w:tab w:val="left" w:pos="2160"/>
          <w:tab w:val="left" w:pos="2880"/>
          <w:tab w:val="left" w:pos="3600"/>
          <w:tab w:val="left" w:pos="4320"/>
          <w:tab w:val="left" w:pos="5040"/>
        </w:tabs>
        <w:spacing w:after="120"/>
        <w:ind w:left="2160" w:hanging="720"/>
        <w:jc w:val="both"/>
      </w:pPr>
      <w:r>
        <w:rPr>
          <w:color w:val="221F1F"/>
        </w:rPr>
        <w:lastRenderedPageBreak/>
        <w:t>Cementitious</w:t>
      </w:r>
      <w:r>
        <w:rPr>
          <w:color w:val="221F1F"/>
          <w:spacing w:val="-11"/>
        </w:rPr>
        <w:t xml:space="preserve"> </w:t>
      </w:r>
      <w:r>
        <w:rPr>
          <w:color w:val="221F1F"/>
        </w:rPr>
        <w:t>Materials:</w:t>
      </w:r>
    </w:p>
    <w:p w14:paraId="425C8CF4"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Portland cement conforming to ASTM C150/C150M-12 for Portland cement.</w:t>
      </w:r>
    </w:p>
    <w:p w14:paraId="7398517E" w14:textId="77777777" w:rsidR="007409D5" w:rsidRDefault="00EA2327" w:rsidP="00F51208">
      <w:pPr>
        <w:pStyle w:val="ListParagraph"/>
        <w:numPr>
          <w:ilvl w:val="4"/>
          <w:numId w:val="2"/>
        </w:numPr>
        <w:tabs>
          <w:tab w:val="left" w:pos="720"/>
          <w:tab w:val="left" w:pos="1440"/>
          <w:tab w:val="left" w:pos="2160"/>
          <w:tab w:val="left" w:pos="2880"/>
          <w:tab w:val="left" w:pos="3600"/>
          <w:tab w:val="left" w:pos="4320"/>
          <w:tab w:val="left" w:pos="5040"/>
        </w:tabs>
        <w:spacing w:after="120"/>
        <w:ind w:left="2880" w:hanging="720"/>
        <w:jc w:val="both"/>
      </w:pPr>
      <w:r>
        <w:rPr>
          <w:color w:val="221F1F"/>
        </w:rPr>
        <w:t>Aggregates conforming to ASTM C33/C33M-13 for normal weight concrete</w:t>
      </w:r>
      <w:r>
        <w:rPr>
          <w:color w:val="221F1F"/>
          <w:spacing w:val="-1"/>
        </w:rPr>
        <w:t xml:space="preserve"> </w:t>
      </w:r>
      <w:r>
        <w:rPr>
          <w:color w:val="221F1F"/>
        </w:rPr>
        <w:t>aggregate.</w:t>
      </w:r>
    </w:p>
    <w:p w14:paraId="15836B40" w14:textId="77777777" w:rsidR="007409D5" w:rsidRPr="00960F30" w:rsidRDefault="00EA2327" w:rsidP="00F51208">
      <w:pPr>
        <w:pStyle w:val="BodyText"/>
        <w:tabs>
          <w:tab w:val="left" w:pos="720"/>
          <w:tab w:val="left" w:pos="1440"/>
          <w:tab w:val="left" w:pos="2160"/>
          <w:tab w:val="left" w:pos="2880"/>
          <w:tab w:val="left" w:pos="3600"/>
          <w:tab w:val="left" w:pos="4320"/>
          <w:tab w:val="left" w:pos="5040"/>
        </w:tabs>
        <w:spacing w:after="120"/>
        <w:ind w:left="720" w:hanging="720"/>
        <w:jc w:val="both"/>
        <w:rPr>
          <w:b/>
          <w:bCs/>
        </w:rPr>
      </w:pPr>
      <w:bookmarkStart w:id="3" w:name="SPC_V2_1061"/>
      <w:bookmarkEnd w:id="3"/>
      <w:r w:rsidRPr="00960F30">
        <w:rPr>
          <w:b/>
          <w:bCs/>
          <w:color w:val="221F1F"/>
        </w:rPr>
        <w:t>PART 3 - EXECUTION</w:t>
      </w:r>
    </w:p>
    <w:p w14:paraId="04680856" w14:textId="77777777" w:rsidR="007409D5" w:rsidRPr="00960F30" w:rsidRDefault="00EA2327" w:rsidP="00F51208">
      <w:pPr>
        <w:pStyle w:val="ListParagraph"/>
        <w:numPr>
          <w:ilvl w:val="1"/>
          <w:numId w:val="1"/>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EXAMINATION</w:t>
      </w:r>
    </w:p>
    <w:p w14:paraId="2614792D"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Examine newly poured concrete surfaces scheduled to receive tactile tile work. Report any unsatisfactory</w:t>
      </w:r>
      <w:r>
        <w:rPr>
          <w:color w:val="221F1F"/>
          <w:spacing w:val="-3"/>
        </w:rPr>
        <w:t xml:space="preserve"> </w:t>
      </w:r>
      <w:r>
        <w:rPr>
          <w:color w:val="221F1F"/>
        </w:rPr>
        <w:t>conditions.</w:t>
      </w:r>
    </w:p>
    <w:p w14:paraId="20674770" w14:textId="0BCD35B2"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Do not start work until unsatisfactory conditions are corrected. Starting work constitutes acceptance of surfaces.</w:t>
      </w:r>
      <w:r w:rsidR="006F08B2">
        <w:rPr>
          <w:color w:val="221F1F"/>
        </w:rPr>
        <w:t xml:space="preserve">  </w:t>
      </w:r>
      <w:r>
        <w:rPr>
          <w:color w:val="221F1F"/>
        </w:rPr>
        <w:t>Refer to manufacturer's recommendations.</w:t>
      </w:r>
    </w:p>
    <w:p w14:paraId="7E90697A" w14:textId="77777777" w:rsidR="007409D5" w:rsidRDefault="00EA2327" w:rsidP="00F51208">
      <w:pPr>
        <w:pStyle w:val="ListParagraph"/>
        <w:numPr>
          <w:ilvl w:val="1"/>
          <w:numId w:val="1"/>
        </w:numPr>
        <w:tabs>
          <w:tab w:val="left" w:pos="720"/>
          <w:tab w:val="left" w:pos="1440"/>
          <w:tab w:val="left" w:pos="2160"/>
          <w:tab w:val="left" w:pos="2880"/>
          <w:tab w:val="left" w:pos="3600"/>
          <w:tab w:val="left" w:pos="4320"/>
          <w:tab w:val="left" w:pos="5040"/>
        </w:tabs>
        <w:spacing w:after="120"/>
        <w:ind w:left="720" w:hanging="720"/>
        <w:jc w:val="both"/>
      </w:pPr>
      <w:r w:rsidRPr="00960F30">
        <w:rPr>
          <w:b/>
          <w:bCs/>
          <w:color w:val="221F1F"/>
        </w:rPr>
        <w:t>INSTALLATION</w:t>
      </w:r>
      <w:r>
        <w:rPr>
          <w:color w:val="221F1F"/>
        </w:rPr>
        <w:t xml:space="preserve"> -</w:t>
      </w:r>
      <w:r>
        <w:rPr>
          <w:color w:val="221F1F"/>
          <w:spacing w:val="-5"/>
        </w:rPr>
        <w:t xml:space="preserve"> </w:t>
      </w:r>
      <w:r>
        <w:rPr>
          <w:color w:val="221F1F"/>
        </w:rPr>
        <w:t>GENERAL</w:t>
      </w:r>
    </w:p>
    <w:p w14:paraId="052B782B"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Tile Placement: By skilled mechanics and in accordance with the applicable provisions of the manufacturer's installation recommendations for cast-in- place tiles.</w:t>
      </w:r>
    </w:p>
    <w:p w14:paraId="74D5156D"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Install Portland Cement paving in accordance with Section 32 13 14 Portland Cement Concrete</w:t>
      </w:r>
      <w:r>
        <w:rPr>
          <w:color w:val="221F1F"/>
          <w:spacing w:val="-5"/>
        </w:rPr>
        <w:t xml:space="preserve"> </w:t>
      </w:r>
      <w:r>
        <w:rPr>
          <w:color w:val="221F1F"/>
        </w:rPr>
        <w:t>Paving.</w:t>
      </w:r>
    </w:p>
    <w:p w14:paraId="061D69C6"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Place</w:t>
      </w:r>
      <w:r>
        <w:rPr>
          <w:color w:val="221F1F"/>
          <w:spacing w:val="-11"/>
        </w:rPr>
        <w:t xml:space="preserve"> </w:t>
      </w:r>
      <w:r>
        <w:rPr>
          <w:color w:val="221F1F"/>
        </w:rPr>
        <w:t>tiles</w:t>
      </w:r>
      <w:r>
        <w:rPr>
          <w:color w:val="221F1F"/>
          <w:spacing w:val="-11"/>
        </w:rPr>
        <w:t xml:space="preserve"> </w:t>
      </w:r>
      <w:r>
        <w:rPr>
          <w:color w:val="221F1F"/>
        </w:rPr>
        <w:t>and</w:t>
      </w:r>
      <w:r>
        <w:rPr>
          <w:color w:val="221F1F"/>
          <w:spacing w:val="-12"/>
        </w:rPr>
        <w:t xml:space="preserve"> </w:t>
      </w:r>
      <w:r>
        <w:rPr>
          <w:color w:val="221F1F"/>
        </w:rPr>
        <w:t>set</w:t>
      </w:r>
      <w:r>
        <w:rPr>
          <w:color w:val="221F1F"/>
          <w:spacing w:val="-13"/>
        </w:rPr>
        <w:t xml:space="preserve"> </w:t>
      </w:r>
      <w:r>
        <w:rPr>
          <w:color w:val="221F1F"/>
        </w:rPr>
        <w:t>per</w:t>
      </w:r>
      <w:r>
        <w:rPr>
          <w:color w:val="221F1F"/>
          <w:spacing w:val="-12"/>
        </w:rPr>
        <w:t xml:space="preserve"> </w:t>
      </w:r>
      <w:r>
        <w:rPr>
          <w:color w:val="221F1F"/>
        </w:rPr>
        <w:t>manufacturer's</w:t>
      </w:r>
      <w:r>
        <w:rPr>
          <w:color w:val="221F1F"/>
          <w:spacing w:val="-9"/>
        </w:rPr>
        <w:t xml:space="preserve"> </w:t>
      </w:r>
      <w:r>
        <w:rPr>
          <w:color w:val="221F1F"/>
        </w:rPr>
        <w:t>recommendations</w:t>
      </w:r>
      <w:r>
        <w:rPr>
          <w:color w:val="221F1F"/>
          <w:spacing w:val="-9"/>
        </w:rPr>
        <w:t xml:space="preserve"> </w:t>
      </w:r>
      <w:r>
        <w:rPr>
          <w:color w:val="221F1F"/>
        </w:rPr>
        <w:t>in</w:t>
      </w:r>
      <w:r>
        <w:rPr>
          <w:color w:val="221F1F"/>
          <w:spacing w:val="-11"/>
        </w:rPr>
        <w:t xml:space="preserve"> </w:t>
      </w:r>
      <w:r>
        <w:rPr>
          <w:color w:val="221F1F"/>
        </w:rPr>
        <w:t>a</w:t>
      </w:r>
      <w:r>
        <w:rPr>
          <w:color w:val="221F1F"/>
          <w:spacing w:val="-10"/>
        </w:rPr>
        <w:t xml:space="preserve"> </w:t>
      </w:r>
      <w:r>
        <w:rPr>
          <w:color w:val="221F1F"/>
        </w:rPr>
        <w:t>single</w:t>
      </w:r>
      <w:r>
        <w:rPr>
          <w:color w:val="221F1F"/>
          <w:spacing w:val="-11"/>
        </w:rPr>
        <w:t xml:space="preserve"> </w:t>
      </w:r>
      <w:r>
        <w:rPr>
          <w:color w:val="221F1F"/>
        </w:rPr>
        <w:t>plane,</w:t>
      </w:r>
      <w:r>
        <w:rPr>
          <w:color w:val="221F1F"/>
          <w:spacing w:val="-7"/>
        </w:rPr>
        <w:t xml:space="preserve"> </w:t>
      </w:r>
      <w:r>
        <w:rPr>
          <w:color w:val="221F1F"/>
        </w:rPr>
        <w:t>1:12 maximum slope, flush with surrounding paved surfaces. The tile shall have a 2' minimum dimension in the direction of travel perpendicular to the traffic lane being crossed. Arrange tile pattern to allow in-line approach by</w:t>
      </w:r>
      <w:r>
        <w:rPr>
          <w:color w:val="221F1F"/>
          <w:spacing w:val="-37"/>
        </w:rPr>
        <w:t xml:space="preserve"> </w:t>
      </w:r>
      <w:r>
        <w:rPr>
          <w:color w:val="221F1F"/>
        </w:rPr>
        <w:t>wheelchairs.</w:t>
      </w:r>
    </w:p>
    <w:p w14:paraId="20DADD10"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Tiles shall be placed after poured concrete ramp/walk mix is placed and screeded to the desired</w:t>
      </w:r>
      <w:r>
        <w:rPr>
          <w:color w:val="221F1F"/>
          <w:spacing w:val="2"/>
        </w:rPr>
        <w:t xml:space="preserve"> </w:t>
      </w:r>
      <w:r>
        <w:rPr>
          <w:color w:val="221F1F"/>
        </w:rPr>
        <w:t>slope.</w:t>
      </w:r>
    </w:p>
    <w:p w14:paraId="7591B147"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 xml:space="preserve">Work tiles into concrete mix to the desired level flush with adjacent surfaces before finishing adjacent surfaces. Place 2 each 25 </w:t>
      </w:r>
      <w:proofErr w:type="spellStart"/>
      <w:r>
        <w:rPr>
          <w:color w:val="221F1F"/>
        </w:rPr>
        <w:t>lb</w:t>
      </w:r>
      <w:proofErr w:type="spellEnd"/>
      <w:r>
        <w:rPr>
          <w:color w:val="221F1F"/>
        </w:rPr>
        <w:t xml:space="preserve"> weights on each tile to ensure solid contact with concrete on the underside of the</w:t>
      </w:r>
      <w:r>
        <w:rPr>
          <w:color w:val="221F1F"/>
          <w:spacing w:val="-19"/>
        </w:rPr>
        <w:t xml:space="preserve"> </w:t>
      </w:r>
      <w:r>
        <w:rPr>
          <w:color w:val="221F1F"/>
        </w:rPr>
        <w:t>tile.</w:t>
      </w:r>
    </w:p>
    <w:p w14:paraId="63655473" w14:textId="77777777" w:rsidR="007409D5" w:rsidRPr="00960F30" w:rsidRDefault="00EA2327" w:rsidP="00F51208">
      <w:pPr>
        <w:pStyle w:val="ListParagraph"/>
        <w:numPr>
          <w:ilvl w:val="1"/>
          <w:numId w:val="1"/>
        </w:numPr>
        <w:tabs>
          <w:tab w:val="left" w:pos="720"/>
          <w:tab w:val="left" w:pos="1440"/>
          <w:tab w:val="left" w:pos="2160"/>
          <w:tab w:val="left" w:pos="2880"/>
          <w:tab w:val="left" w:pos="3600"/>
          <w:tab w:val="left" w:pos="4320"/>
          <w:tab w:val="left" w:pos="5040"/>
        </w:tabs>
        <w:spacing w:after="120"/>
        <w:ind w:left="720" w:hanging="720"/>
        <w:jc w:val="both"/>
        <w:rPr>
          <w:b/>
          <w:bCs/>
        </w:rPr>
      </w:pPr>
      <w:r w:rsidRPr="00960F30">
        <w:rPr>
          <w:b/>
          <w:bCs/>
          <w:color w:val="221F1F"/>
        </w:rPr>
        <w:t>CLEANING</w:t>
      </w:r>
    </w:p>
    <w:p w14:paraId="41659A84"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Protection: Protect finish and surface of tile and adjacent materials with Vaseline to prevent</w:t>
      </w:r>
      <w:r>
        <w:rPr>
          <w:color w:val="221F1F"/>
          <w:spacing w:val="-5"/>
        </w:rPr>
        <w:t xml:space="preserve"> </w:t>
      </w:r>
      <w:r>
        <w:rPr>
          <w:color w:val="221F1F"/>
        </w:rPr>
        <w:t>staining.</w:t>
      </w:r>
    </w:p>
    <w:p w14:paraId="0F32C69F" w14:textId="77777777" w:rsidR="007409D5" w:rsidRDefault="00EA2327" w:rsidP="00F51208">
      <w:pPr>
        <w:pStyle w:val="ListParagraph"/>
        <w:numPr>
          <w:ilvl w:val="2"/>
          <w:numId w:val="1"/>
        </w:numPr>
        <w:tabs>
          <w:tab w:val="left" w:pos="720"/>
          <w:tab w:val="left" w:pos="1440"/>
          <w:tab w:val="left" w:pos="2160"/>
          <w:tab w:val="left" w:pos="2880"/>
          <w:tab w:val="left" w:pos="3600"/>
          <w:tab w:val="left" w:pos="4320"/>
          <w:tab w:val="left" w:pos="5040"/>
        </w:tabs>
        <w:spacing w:after="120"/>
        <w:ind w:left="1440" w:hanging="720"/>
        <w:jc w:val="both"/>
      </w:pPr>
      <w:r>
        <w:rPr>
          <w:color w:val="221F1F"/>
        </w:rPr>
        <w:t>Cleaning: Upon completion of any portion of tile work, remove rubbish and unused materials incidental to the installation, and give the finished surfaces</w:t>
      </w:r>
      <w:r>
        <w:rPr>
          <w:color w:val="221F1F"/>
          <w:spacing w:val="-37"/>
        </w:rPr>
        <w:t xml:space="preserve"> </w:t>
      </w:r>
      <w:r>
        <w:rPr>
          <w:color w:val="221F1F"/>
        </w:rPr>
        <w:t>a thorough cleaning in a manufacturer-approved manner. Remove traces of cement</w:t>
      </w:r>
      <w:r>
        <w:rPr>
          <w:color w:val="221F1F"/>
          <w:spacing w:val="-13"/>
        </w:rPr>
        <w:t xml:space="preserve"> </w:t>
      </w:r>
      <w:r>
        <w:rPr>
          <w:color w:val="221F1F"/>
        </w:rPr>
        <w:t>and</w:t>
      </w:r>
      <w:r>
        <w:rPr>
          <w:color w:val="221F1F"/>
          <w:spacing w:val="-11"/>
        </w:rPr>
        <w:t xml:space="preserve"> </w:t>
      </w:r>
      <w:r>
        <w:rPr>
          <w:color w:val="221F1F"/>
        </w:rPr>
        <w:t>dust</w:t>
      </w:r>
      <w:r>
        <w:rPr>
          <w:color w:val="221F1F"/>
          <w:spacing w:val="-12"/>
        </w:rPr>
        <w:t xml:space="preserve"> </w:t>
      </w:r>
      <w:r>
        <w:rPr>
          <w:color w:val="221F1F"/>
        </w:rPr>
        <w:t>accumulations.</w:t>
      </w:r>
      <w:r>
        <w:rPr>
          <w:color w:val="221F1F"/>
          <w:spacing w:val="39"/>
        </w:rPr>
        <w:t xml:space="preserve"> </w:t>
      </w:r>
      <w:r>
        <w:rPr>
          <w:color w:val="221F1F"/>
        </w:rPr>
        <w:t>Do</w:t>
      </w:r>
      <w:r>
        <w:rPr>
          <w:color w:val="221F1F"/>
          <w:spacing w:val="-10"/>
        </w:rPr>
        <w:t xml:space="preserve"> </w:t>
      </w:r>
      <w:r>
        <w:rPr>
          <w:color w:val="221F1F"/>
        </w:rPr>
        <w:t>not</w:t>
      </w:r>
      <w:r>
        <w:rPr>
          <w:color w:val="221F1F"/>
          <w:spacing w:val="-13"/>
        </w:rPr>
        <w:t xml:space="preserve"> </w:t>
      </w:r>
      <w:r>
        <w:rPr>
          <w:color w:val="221F1F"/>
        </w:rPr>
        <w:t>use</w:t>
      </w:r>
      <w:r>
        <w:rPr>
          <w:color w:val="221F1F"/>
          <w:spacing w:val="-14"/>
        </w:rPr>
        <w:t xml:space="preserve"> </w:t>
      </w:r>
      <w:r>
        <w:rPr>
          <w:color w:val="221F1F"/>
        </w:rPr>
        <w:t>acid</w:t>
      </w:r>
      <w:r>
        <w:rPr>
          <w:color w:val="221F1F"/>
          <w:spacing w:val="-12"/>
        </w:rPr>
        <w:t xml:space="preserve"> </w:t>
      </w:r>
      <w:r>
        <w:rPr>
          <w:color w:val="221F1F"/>
        </w:rPr>
        <w:t>solutions</w:t>
      </w:r>
      <w:r>
        <w:rPr>
          <w:color w:val="221F1F"/>
          <w:spacing w:val="-8"/>
        </w:rPr>
        <w:t xml:space="preserve"> </w:t>
      </w:r>
      <w:r>
        <w:rPr>
          <w:color w:val="221F1F"/>
        </w:rPr>
        <w:t>on</w:t>
      </w:r>
      <w:r>
        <w:rPr>
          <w:color w:val="221F1F"/>
          <w:spacing w:val="-11"/>
        </w:rPr>
        <w:t xml:space="preserve"> </w:t>
      </w:r>
      <w:r>
        <w:rPr>
          <w:color w:val="221F1F"/>
        </w:rPr>
        <w:t>tactile</w:t>
      </w:r>
      <w:r>
        <w:rPr>
          <w:color w:val="221F1F"/>
          <w:spacing w:val="-7"/>
        </w:rPr>
        <w:t xml:space="preserve"> </w:t>
      </w:r>
      <w:r>
        <w:rPr>
          <w:color w:val="221F1F"/>
        </w:rPr>
        <w:t>tile</w:t>
      </w:r>
      <w:r>
        <w:rPr>
          <w:color w:val="221F1F"/>
          <w:spacing w:val="-12"/>
        </w:rPr>
        <w:t xml:space="preserve"> </w:t>
      </w:r>
      <w:r>
        <w:rPr>
          <w:color w:val="221F1F"/>
        </w:rPr>
        <w:t>work.</w:t>
      </w:r>
    </w:p>
    <w:p w14:paraId="076242FE" w14:textId="77777777" w:rsidR="007409D5" w:rsidRDefault="00EA2327" w:rsidP="00F51208">
      <w:pPr>
        <w:pStyle w:val="BodyText"/>
        <w:tabs>
          <w:tab w:val="left" w:pos="720"/>
          <w:tab w:val="left" w:pos="1440"/>
          <w:tab w:val="left" w:pos="2160"/>
          <w:tab w:val="left" w:pos="2880"/>
          <w:tab w:val="left" w:pos="3600"/>
          <w:tab w:val="left" w:pos="4320"/>
          <w:tab w:val="left" w:pos="5040"/>
        </w:tabs>
        <w:spacing w:before="240" w:after="120"/>
        <w:ind w:left="720" w:hanging="720"/>
        <w:jc w:val="center"/>
      </w:pPr>
      <w:r>
        <w:rPr>
          <w:color w:val="221F1F"/>
        </w:rPr>
        <w:t>END OF SECTION</w:t>
      </w:r>
    </w:p>
    <w:sectPr w:rsidR="007409D5" w:rsidSect="00E378DE">
      <w:headerReference w:type="default" r:id="rId7"/>
      <w:footerReference w:type="default" r:id="rId8"/>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7CB0" w14:textId="77777777" w:rsidR="00976070" w:rsidRDefault="00EA2327">
      <w:r>
        <w:separator/>
      </w:r>
    </w:p>
  </w:endnote>
  <w:endnote w:type="continuationSeparator" w:id="0">
    <w:p w14:paraId="5A9296CA" w14:textId="77777777" w:rsidR="00976070" w:rsidRDefault="00EA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0FE7" w14:textId="1D2F4DF1" w:rsidR="006F08B2" w:rsidRPr="006F08B2" w:rsidRDefault="006F08B2" w:rsidP="006F08B2">
    <w:pPr>
      <w:pStyle w:val="Footer"/>
      <w:rPr>
        <w:bCs/>
        <w:sz w:val="20"/>
      </w:rPr>
    </w:pPr>
    <w:r w:rsidRPr="006F08B2">
      <w:rPr>
        <w:sz w:val="20"/>
      </w:rPr>
      <w:t>Revised:  01/07/22</w:t>
    </w:r>
    <w:r w:rsidRPr="006F08B2">
      <w:rPr>
        <w:sz w:val="20"/>
      </w:rPr>
      <w:tab/>
    </w:r>
    <w:r>
      <w:rPr>
        <w:sz w:val="20"/>
      </w:rPr>
      <w:tab/>
    </w:r>
    <w:r w:rsidRPr="006F08B2">
      <w:rPr>
        <w:sz w:val="20"/>
      </w:rPr>
      <w:t xml:space="preserve">Page </w:t>
    </w:r>
    <w:r w:rsidRPr="006F08B2">
      <w:rPr>
        <w:bCs/>
        <w:sz w:val="20"/>
      </w:rPr>
      <w:fldChar w:fldCharType="begin"/>
    </w:r>
    <w:r w:rsidRPr="006F08B2">
      <w:rPr>
        <w:bCs/>
        <w:sz w:val="20"/>
      </w:rPr>
      <w:instrText xml:space="preserve"> PAGE </w:instrText>
    </w:r>
    <w:r w:rsidRPr="006F08B2">
      <w:rPr>
        <w:bCs/>
        <w:sz w:val="20"/>
      </w:rPr>
      <w:fldChar w:fldCharType="separate"/>
    </w:r>
    <w:r w:rsidRPr="006F08B2">
      <w:rPr>
        <w:bCs/>
        <w:sz w:val="20"/>
      </w:rPr>
      <w:t>5</w:t>
    </w:r>
    <w:r w:rsidRPr="006F08B2">
      <w:rPr>
        <w:sz w:val="20"/>
      </w:rPr>
      <w:fldChar w:fldCharType="end"/>
    </w:r>
    <w:r w:rsidRPr="006F08B2">
      <w:rPr>
        <w:sz w:val="20"/>
      </w:rPr>
      <w:t xml:space="preserve"> of </w:t>
    </w:r>
    <w:r w:rsidRPr="006F08B2">
      <w:rPr>
        <w:bCs/>
        <w:sz w:val="20"/>
      </w:rPr>
      <w:fldChar w:fldCharType="begin"/>
    </w:r>
    <w:r w:rsidRPr="006F08B2">
      <w:rPr>
        <w:bCs/>
        <w:sz w:val="20"/>
      </w:rPr>
      <w:instrText xml:space="preserve"> NUMPAGES  </w:instrText>
    </w:r>
    <w:r w:rsidRPr="006F08B2">
      <w:rPr>
        <w:bCs/>
        <w:sz w:val="20"/>
      </w:rPr>
      <w:fldChar w:fldCharType="separate"/>
    </w:r>
    <w:r w:rsidRPr="006F08B2">
      <w:rPr>
        <w:bCs/>
        <w:sz w:val="20"/>
      </w:rPr>
      <w:t>7</w:t>
    </w:r>
    <w:r w:rsidRPr="006F08B2">
      <w:rPr>
        <w:sz w:val="20"/>
      </w:rPr>
      <w:fldChar w:fldCharType="end"/>
    </w:r>
  </w:p>
  <w:p w14:paraId="6A72E3CF" w14:textId="2EE0FCAA" w:rsidR="00E378DE" w:rsidRPr="00E378DE" w:rsidRDefault="00E378DE" w:rsidP="00E378DE">
    <w:pPr>
      <w:pStyle w:val="Footer"/>
      <w:jc w:val="right"/>
      <w:rPr>
        <w:sz w:val="20"/>
      </w:rPr>
    </w:pPr>
    <w:r w:rsidRPr="00E378DE">
      <w:rPr>
        <w:sz w:val="20"/>
      </w:rPr>
      <w:t>De</w:t>
    </w:r>
    <w:r w:rsidR="00A14CF1">
      <w:rPr>
        <w:sz w:val="20"/>
      </w:rPr>
      <w:t>te</w:t>
    </w:r>
    <w:r w:rsidRPr="00E378DE">
      <w:rPr>
        <w:sz w:val="20"/>
      </w:rPr>
      <w:t>ctable/Tactile Warning Surfaces</w:t>
    </w:r>
  </w:p>
  <w:p w14:paraId="549A7A61" w14:textId="21D6BBD2" w:rsidR="00E378DE" w:rsidRPr="00E378DE" w:rsidRDefault="00E378DE" w:rsidP="00E378DE">
    <w:pPr>
      <w:pStyle w:val="Footer"/>
      <w:jc w:val="right"/>
      <w:rPr>
        <w:sz w:val="20"/>
      </w:rPr>
    </w:pPr>
    <w:r>
      <w:rPr>
        <w:sz w:val="20"/>
      </w:rPr>
      <w:t xml:space="preserve">Section </w:t>
    </w:r>
    <w:r w:rsidRPr="00E378DE">
      <w:rPr>
        <w:sz w:val="20"/>
      </w:rPr>
      <w:t>32 17 16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C10B" w14:textId="77777777" w:rsidR="00976070" w:rsidRDefault="00EA2327">
      <w:r>
        <w:separator/>
      </w:r>
    </w:p>
  </w:footnote>
  <w:footnote w:type="continuationSeparator" w:id="0">
    <w:p w14:paraId="3A0A7BD0" w14:textId="77777777" w:rsidR="00976070" w:rsidRDefault="00EA2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B7F4" w14:textId="5CD53F50" w:rsidR="00E378DE" w:rsidRDefault="00E378DE" w:rsidP="00E378DE">
    <w:pPr>
      <w:pStyle w:val="BodyText"/>
      <w:spacing w:before="21"/>
      <w:ind w:left="20" w:right="2" w:firstLine="700"/>
      <w:jc w:val="right"/>
      <w:rPr>
        <w:color w:val="221F1F"/>
      </w:rPr>
    </w:pPr>
    <w:r>
      <w:rPr>
        <w:color w:val="221F1F"/>
      </w:rPr>
      <w:t>Fontana Unified School District</w:t>
    </w:r>
  </w:p>
  <w:p w14:paraId="7C0CDE48" w14:textId="2A230DC1" w:rsidR="00E378DE" w:rsidRDefault="00E378DE" w:rsidP="00E378DE">
    <w:pPr>
      <w:pStyle w:val="BodyText"/>
      <w:spacing w:before="21"/>
      <w:ind w:left="20" w:right="2" w:firstLine="0"/>
      <w:jc w:val="right"/>
      <w:rPr>
        <w:color w:val="221F1F"/>
      </w:rPr>
    </w:pPr>
    <w:bookmarkStart w:id="4" w:name="_Hlk108790889"/>
    <w:bookmarkStart w:id="5" w:name="_Hlk108790890"/>
    <w:bookmarkStart w:id="6" w:name="_Hlk108790891"/>
    <w:bookmarkStart w:id="7" w:name="_Hlk108790892"/>
    <w:r>
      <w:rPr>
        <w:color w:val="221F1F"/>
      </w:rPr>
      <w:t>DE</w:t>
    </w:r>
    <w:r w:rsidR="00A14CF1">
      <w:rPr>
        <w:color w:val="221F1F"/>
      </w:rPr>
      <w:t>TE</w:t>
    </w:r>
    <w:r>
      <w:rPr>
        <w:color w:val="221F1F"/>
      </w:rPr>
      <w:t>CTABLE/TACTILE WARNING SURFACES</w:t>
    </w:r>
  </w:p>
  <w:p w14:paraId="14B87DC6" w14:textId="4F01B0AA" w:rsidR="00E378DE" w:rsidRDefault="00E378DE" w:rsidP="00E378DE">
    <w:pPr>
      <w:pStyle w:val="BodyText"/>
      <w:spacing w:before="21"/>
      <w:ind w:left="2180" w:right="2" w:firstLine="700"/>
      <w:jc w:val="right"/>
    </w:pPr>
    <w:r>
      <w:rPr>
        <w:color w:val="221F1F"/>
      </w:rPr>
      <w:t>32 17 16</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782F"/>
    <w:multiLevelType w:val="multilevel"/>
    <w:tmpl w:val="3104BD60"/>
    <w:lvl w:ilvl="0">
      <w:start w:val="3"/>
      <w:numFmt w:val="decimal"/>
      <w:lvlText w:val="%1"/>
      <w:lvlJc w:val="left"/>
      <w:pPr>
        <w:ind w:left="640" w:hanging="540"/>
        <w:jc w:val="left"/>
      </w:pPr>
      <w:rPr>
        <w:rFonts w:hint="default"/>
      </w:rPr>
    </w:lvl>
    <w:lvl w:ilvl="1">
      <w:start w:val="1"/>
      <w:numFmt w:val="decimalZero"/>
      <w:lvlText w:val="%1.%2"/>
      <w:lvlJc w:val="left"/>
      <w:pPr>
        <w:ind w:left="640" w:hanging="540"/>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0" w:hanging="540"/>
        <w:jc w:val="left"/>
      </w:pPr>
      <w:rPr>
        <w:rFonts w:ascii="Century Gothic" w:eastAsia="Century Gothic" w:hAnsi="Century Gothic" w:cs="Century Gothic" w:hint="default"/>
        <w:color w:val="221F1F"/>
        <w:spacing w:val="-3"/>
        <w:w w:val="100"/>
        <w:sz w:val="22"/>
        <w:szCs w:val="22"/>
      </w:rPr>
    </w:lvl>
    <w:lvl w:ilvl="3">
      <w:numFmt w:val="bullet"/>
      <w:lvlText w:val="•"/>
      <w:lvlJc w:val="left"/>
      <w:pPr>
        <w:ind w:left="3055" w:hanging="540"/>
      </w:pPr>
      <w:rPr>
        <w:rFonts w:hint="default"/>
      </w:rPr>
    </w:lvl>
    <w:lvl w:ilvl="4">
      <w:numFmt w:val="bullet"/>
      <w:lvlText w:val="•"/>
      <w:lvlJc w:val="left"/>
      <w:pPr>
        <w:ind w:left="3993" w:hanging="540"/>
      </w:pPr>
      <w:rPr>
        <w:rFonts w:hint="default"/>
      </w:rPr>
    </w:lvl>
    <w:lvl w:ilvl="5">
      <w:numFmt w:val="bullet"/>
      <w:lvlText w:val="•"/>
      <w:lvlJc w:val="left"/>
      <w:pPr>
        <w:ind w:left="4931" w:hanging="540"/>
      </w:pPr>
      <w:rPr>
        <w:rFonts w:hint="default"/>
      </w:rPr>
    </w:lvl>
    <w:lvl w:ilvl="6">
      <w:numFmt w:val="bullet"/>
      <w:lvlText w:val="•"/>
      <w:lvlJc w:val="left"/>
      <w:pPr>
        <w:ind w:left="5868" w:hanging="540"/>
      </w:pPr>
      <w:rPr>
        <w:rFonts w:hint="default"/>
      </w:rPr>
    </w:lvl>
    <w:lvl w:ilvl="7">
      <w:numFmt w:val="bullet"/>
      <w:lvlText w:val="•"/>
      <w:lvlJc w:val="left"/>
      <w:pPr>
        <w:ind w:left="6806" w:hanging="540"/>
      </w:pPr>
      <w:rPr>
        <w:rFonts w:hint="default"/>
      </w:rPr>
    </w:lvl>
    <w:lvl w:ilvl="8">
      <w:numFmt w:val="bullet"/>
      <w:lvlText w:val="•"/>
      <w:lvlJc w:val="left"/>
      <w:pPr>
        <w:ind w:left="7744" w:hanging="540"/>
      </w:pPr>
      <w:rPr>
        <w:rFonts w:hint="default"/>
      </w:rPr>
    </w:lvl>
  </w:abstractNum>
  <w:abstractNum w:abstractNumId="1" w15:restartNumberingAfterBreak="0">
    <w:nsid w:val="4A475442"/>
    <w:multiLevelType w:val="multilevel"/>
    <w:tmpl w:val="C602B2E8"/>
    <w:lvl w:ilvl="0">
      <w:start w:val="1"/>
      <w:numFmt w:val="decimal"/>
      <w:lvlText w:val="%1"/>
      <w:lvlJc w:val="left"/>
      <w:pPr>
        <w:ind w:left="640" w:hanging="540"/>
        <w:jc w:val="left"/>
      </w:pPr>
      <w:rPr>
        <w:rFonts w:hint="default"/>
      </w:rPr>
    </w:lvl>
    <w:lvl w:ilvl="1">
      <w:start w:val="1"/>
      <w:numFmt w:val="decimalZero"/>
      <w:lvlText w:val="%1.%2"/>
      <w:lvlJc w:val="left"/>
      <w:pPr>
        <w:ind w:left="640" w:hanging="540"/>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0" w:hanging="540"/>
        <w:jc w:val="left"/>
      </w:pPr>
      <w:rPr>
        <w:rFonts w:ascii="Century Gothic" w:eastAsia="Century Gothic" w:hAnsi="Century Gothic" w:cs="Century Gothic" w:hint="default"/>
        <w:color w:val="221F1F"/>
        <w:spacing w:val="-3"/>
        <w:w w:val="100"/>
        <w:sz w:val="22"/>
        <w:szCs w:val="22"/>
      </w:rPr>
    </w:lvl>
    <w:lvl w:ilvl="3">
      <w:start w:val="1"/>
      <w:numFmt w:val="decimal"/>
      <w:lvlText w:val="%4."/>
      <w:lvlJc w:val="left"/>
      <w:pPr>
        <w:ind w:left="1720" w:hanging="540"/>
        <w:jc w:val="left"/>
      </w:pPr>
      <w:rPr>
        <w:rFonts w:ascii="Century Gothic" w:eastAsia="Century Gothic" w:hAnsi="Century Gothic" w:cs="Century Gothic" w:hint="default"/>
        <w:color w:val="221F1F"/>
        <w:spacing w:val="-3"/>
        <w:w w:val="100"/>
        <w:sz w:val="22"/>
        <w:szCs w:val="22"/>
      </w:rPr>
    </w:lvl>
    <w:lvl w:ilvl="4">
      <w:numFmt w:val="bullet"/>
      <w:lvlText w:val="•"/>
      <w:lvlJc w:val="left"/>
      <w:pPr>
        <w:ind w:left="3695" w:hanging="540"/>
      </w:pPr>
      <w:rPr>
        <w:rFonts w:hint="default"/>
      </w:rPr>
    </w:lvl>
    <w:lvl w:ilvl="5">
      <w:numFmt w:val="bullet"/>
      <w:lvlText w:val="•"/>
      <w:lvlJc w:val="left"/>
      <w:pPr>
        <w:ind w:left="4682" w:hanging="540"/>
      </w:pPr>
      <w:rPr>
        <w:rFonts w:hint="default"/>
      </w:rPr>
    </w:lvl>
    <w:lvl w:ilvl="6">
      <w:numFmt w:val="bullet"/>
      <w:lvlText w:val="•"/>
      <w:lvlJc w:val="left"/>
      <w:pPr>
        <w:ind w:left="5670" w:hanging="540"/>
      </w:pPr>
      <w:rPr>
        <w:rFonts w:hint="default"/>
      </w:rPr>
    </w:lvl>
    <w:lvl w:ilvl="7">
      <w:numFmt w:val="bullet"/>
      <w:lvlText w:val="•"/>
      <w:lvlJc w:val="left"/>
      <w:pPr>
        <w:ind w:left="6657" w:hanging="540"/>
      </w:pPr>
      <w:rPr>
        <w:rFonts w:hint="default"/>
      </w:rPr>
    </w:lvl>
    <w:lvl w:ilvl="8">
      <w:numFmt w:val="bullet"/>
      <w:lvlText w:val="•"/>
      <w:lvlJc w:val="left"/>
      <w:pPr>
        <w:ind w:left="7645" w:hanging="540"/>
      </w:pPr>
      <w:rPr>
        <w:rFonts w:hint="default"/>
      </w:rPr>
    </w:lvl>
  </w:abstractNum>
  <w:abstractNum w:abstractNumId="2" w15:restartNumberingAfterBreak="0">
    <w:nsid w:val="7FE131FA"/>
    <w:multiLevelType w:val="multilevel"/>
    <w:tmpl w:val="F55A0FB4"/>
    <w:lvl w:ilvl="0">
      <w:start w:val="2"/>
      <w:numFmt w:val="decimal"/>
      <w:lvlText w:val="%1"/>
      <w:lvlJc w:val="left"/>
      <w:pPr>
        <w:ind w:left="642" w:hanging="543"/>
        <w:jc w:val="left"/>
      </w:pPr>
      <w:rPr>
        <w:rFonts w:hint="default"/>
      </w:rPr>
    </w:lvl>
    <w:lvl w:ilvl="1">
      <w:start w:val="1"/>
      <w:numFmt w:val="decimalZero"/>
      <w:lvlText w:val="%1.%2"/>
      <w:lvlJc w:val="left"/>
      <w:pPr>
        <w:ind w:left="642" w:hanging="543"/>
        <w:jc w:val="left"/>
      </w:pPr>
      <w:rPr>
        <w:rFonts w:ascii="Century Gothic" w:eastAsia="Century Gothic" w:hAnsi="Century Gothic" w:cs="Century Gothic" w:hint="default"/>
        <w:color w:val="221F1F"/>
        <w:spacing w:val="-3"/>
        <w:w w:val="100"/>
        <w:sz w:val="22"/>
        <w:szCs w:val="22"/>
      </w:rPr>
    </w:lvl>
    <w:lvl w:ilvl="2">
      <w:start w:val="1"/>
      <w:numFmt w:val="upperLetter"/>
      <w:lvlText w:val="%3."/>
      <w:lvlJc w:val="left"/>
      <w:pPr>
        <w:ind w:left="1182" w:hanging="543"/>
        <w:jc w:val="left"/>
      </w:pPr>
      <w:rPr>
        <w:rFonts w:ascii="Century Gothic" w:eastAsia="Century Gothic" w:hAnsi="Century Gothic" w:cs="Century Gothic" w:hint="default"/>
        <w:color w:val="221F1F"/>
        <w:spacing w:val="-1"/>
        <w:w w:val="100"/>
        <w:sz w:val="22"/>
        <w:szCs w:val="22"/>
      </w:rPr>
    </w:lvl>
    <w:lvl w:ilvl="3">
      <w:start w:val="1"/>
      <w:numFmt w:val="decimal"/>
      <w:lvlText w:val="%4."/>
      <w:lvlJc w:val="left"/>
      <w:pPr>
        <w:ind w:left="1722" w:hanging="543"/>
        <w:jc w:val="left"/>
      </w:pPr>
      <w:rPr>
        <w:rFonts w:ascii="Century Gothic" w:eastAsia="Century Gothic" w:hAnsi="Century Gothic" w:cs="Century Gothic" w:hint="default"/>
        <w:color w:val="221F1F"/>
        <w:spacing w:val="-3"/>
        <w:w w:val="100"/>
        <w:sz w:val="22"/>
        <w:szCs w:val="22"/>
      </w:rPr>
    </w:lvl>
    <w:lvl w:ilvl="4">
      <w:start w:val="1"/>
      <w:numFmt w:val="lowerLetter"/>
      <w:lvlText w:val="%5."/>
      <w:lvlJc w:val="left"/>
      <w:pPr>
        <w:ind w:left="2263" w:hanging="543"/>
        <w:jc w:val="left"/>
      </w:pPr>
      <w:rPr>
        <w:rFonts w:ascii="Century Gothic" w:eastAsia="Century Gothic" w:hAnsi="Century Gothic" w:cs="Century Gothic" w:hint="default"/>
        <w:color w:val="221F1F"/>
        <w:spacing w:val="-3"/>
        <w:w w:val="100"/>
        <w:sz w:val="22"/>
        <w:szCs w:val="22"/>
      </w:rPr>
    </w:lvl>
    <w:lvl w:ilvl="5">
      <w:numFmt w:val="bullet"/>
      <w:lvlText w:val="•"/>
      <w:lvlJc w:val="left"/>
      <w:pPr>
        <w:ind w:left="4362" w:hanging="543"/>
      </w:pPr>
      <w:rPr>
        <w:rFonts w:hint="default"/>
      </w:rPr>
    </w:lvl>
    <w:lvl w:ilvl="6">
      <w:numFmt w:val="bullet"/>
      <w:lvlText w:val="•"/>
      <w:lvlJc w:val="left"/>
      <w:pPr>
        <w:ind w:left="5414" w:hanging="543"/>
      </w:pPr>
      <w:rPr>
        <w:rFonts w:hint="default"/>
      </w:rPr>
    </w:lvl>
    <w:lvl w:ilvl="7">
      <w:numFmt w:val="bullet"/>
      <w:lvlText w:val="•"/>
      <w:lvlJc w:val="left"/>
      <w:pPr>
        <w:ind w:left="6465" w:hanging="543"/>
      </w:pPr>
      <w:rPr>
        <w:rFonts w:hint="default"/>
      </w:rPr>
    </w:lvl>
    <w:lvl w:ilvl="8">
      <w:numFmt w:val="bullet"/>
      <w:lvlText w:val="•"/>
      <w:lvlJc w:val="left"/>
      <w:pPr>
        <w:ind w:left="7517" w:hanging="543"/>
      </w:pPr>
      <w:rPr>
        <w:rFonts w:hint="default"/>
      </w:rPr>
    </w:lvl>
  </w:abstractNum>
  <w:num w:numId="1" w16cid:durableId="951549108">
    <w:abstractNumId w:val="0"/>
  </w:num>
  <w:num w:numId="2" w16cid:durableId="1976986511">
    <w:abstractNumId w:val="2"/>
  </w:num>
  <w:num w:numId="3" w16cid:durableId="186617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409D5"/>
    <w:rsid w:val="00050D80"/>
    <w:rsid w:val="00135DD8"/>
    <w:rsid w:val="006F08B2"/>
    <w:rsid w:val="007409D5"/>
    <w:rsid w:val="00960F30"/>
    <w:rsid w:val="00976070"/>
    <w:rsid w:val="00A14CF1"/>
    <w:rsid w:val="00BD0C5E"/>
    <w:rsid w:val="00DB5FCC"/>
    <w:rsid w:val="00DF02D7"/>
    <w:rsid w:val="00E378DE"/>
    <w:rsid w:val="00EA2327"/>
    <w:rsid w:val="00F5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15D3"/>
  <w15:docId w15:val="{771D814B-512E-484F-9E80-A0D2EDAA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540"/>
    </w:pPr>
  </w:style>
  <w:style w:type="paragraph" w:styleId="ListParagraph">
    <w:name w:val="List Paragraph"/>
    <w:basedOn w:val="Normal"/>
    <w:uiPriority w:val="1"/>
    <w:qFormat/>
    <w:pPr>
      <w:ind w:left="1180"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327"/>
    <w:pPr>
      <w:tabs>
        <w:tab w:val="center" w:pos="4680"/>
        <w:tab w:val="right" w:pos="9360"/>
      </w:tabs>
    </w:pPr>
  </w:style>
  <w:style w:type="character" w:customStyle="1" w:styleId="HeaderChar">
    <w:name w:val="Header Char"/>
    <w:basedOn w:val="DefaultParagraphFont"/>
    <w:link w:val="Header"/>
    <w:uiPriority w:val="99"/>
    <w:rsid w:val="00EA2327"/>
    <w:rPr>
      <w:rFonts w:ascii="Century Gothic" w:eastAsia="Century Gothic" w:hAnsi="Century Gothic" w:cs="Century Gothic"/>
    </w:rPr>
  </w:style>
  <w:style w:type="paragraph" w:styleId="Footer">
    <w:name w:val="footer"/>
    <w:basedOn w:val="Normal"/>
    <w:link w:val="FooterChar"/>
    <w:uiPriority w:val="99"/>
    <w:unhideWhenUsed/>
    <w:rsid w:val="00EA2327"/>
    <w:pPr>
      <w:tabs>
        <w:tab w:val="center" w:pos="4680"/>
        <w:tab w:val="right" w:pos="9360"/>
      </w:tabs>
    </w:pPr>
  </w:style>
  <w:style w:type="character" w:customStyle="1" w:styleId="FooterChar">
    <w:name w:val="Footer Char"/>
    <w:basedOn w:val="DefaultParagraphFont"/>
    <w:link w:val="Footer"/>
    <w:uiPriority w:val="99"/>
    <w:rsid w:val="00EA2327"/>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dc:creator>
  <cp:lastModifiedBy>Nancy Pilkington</cp:lastModifiedBy>
  <cp:revision>12</cp:revision>
  <dcterms:created xsi:type="dcterms:W3CDTF">2022-07-14T18:28:00Z</dcterms:created>
  <dcterms:modified xsi:type="dcterms:W3CDTF">2022-07-15T20:37:00Z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2022-07-14T00:00:00Z</vt:filetime>
  </property>
</Properties>
</file>