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ACB6" w14:textId="77777777" w:rsidR="00991D19" w:rsidRDefault="00D329BA" w:rsidP="003F0D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</w:pPr>
      <w:r>
        <w:rPr>
          <w:color w:val="221F1F"/>
        </w:rPr>
        <w:t>PART 1 - GENERAL</w:t>
      </w:r>
    </w:p>
    <w:p w14:paraId="421CEB85" w14:textId="77777777" w:rsidR="00991D19" w:rsidRDefault="00D329BA" w:rsidP="003F0D0C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both"/>
      </w:pPr>
      <w:r>
        <w:rPr>
          <w:color w:val="221F1F"/>
        </w:rPr>
        <w:t>SUMMARY</w:t>
      </w:r>
    </w:p>
    <w:p w14:paraId="6A841BEA" w14:textId="77777777" w:rsidR="00991D19" w:rsidRDefault="00D329BA" w:rsidP="00051B8B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</w:pPr>
      <w:r>
        <w:rPr>
          <w:color w:val="221F1F"/>
        </w:rPr>
        <w:t>Principal Work Items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Are:</w:t>
      </w:r>
    </w:p>
    <w:p w14:paraId="692FCE9A" w14:textId="77777777" w:rsidR="00991D19" w:rsidRDefault="00D329BA" w:rsidP="00051B8B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ind w:left="2160" w:hanging="720"/>
        <w:jc w:val="both"/>
      </w:pPr>
      <w:r>
        <w:rPr>
          <w:color w:val="221F1F"/>
        </w:rPr>
        <w:t xml:space="preserve">Concrete parking bumpers at accessible parking stalls and </w:t>
      </w:r>
      <w:proofErr w:type="gramStart"/>
      <w:r>
        <w:rPr>
          <w:color w:val="221F1F"/>
        </w:rPr>
        <w:t>where</w:t>
      </w:r>
      <w:proofErr w:type="gramEnd"/>
      <w:r>
        <w:rPr>
          <w:color w:val="221F1F"/>
        </w:rPr>
        <w:t xml:space="preserve"> indicated on the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drawings.</w:t>
      </w:r>
    </w:p>
    <w:p w14:paraId="609A40F7" w14:textId="77777777" w:rsidR="00991D19" w:rsidRDefault="00D329BA" w:rsidP="00051B8B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</w:pPr>
      <w:r>
        <w:rPr>
          <w:color w:val="221F1F"/>
        </w:rPr>
        <w:t>Related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Work:</w:t>
      </w:r>
    </w:p>
    <w:p w14:paraId="18BB2D02" w14:textId="77777777" w:rsidR="00991D19" w:rsidRDefault="00D329BA" w:rsidP="00051B8B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160" w:hanging="720"/>
        <w:jc w:val="both"/>
      </w:pPr>
      <w:r>
        <w:rPr>
          <w:color w:val="221F1F"/>
        </w:rPr>
        <w:t>Pavement Marking: Section 32 17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23.</w:t>
      </w:r>
    </w:p>
    <w:p w14:paraId="5FBA6111" w14:textId="77777777" w:rsidR="00991D19" w:rsidRDefault="00D329BA" w:rsidP="00051B8B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ind w:left="2160" w:hanging="720"/>
        <w:jc w:val="both"/>
      </w:pPr>
      <w:r>
        <w:rPr>
          <w:color w:val="221F1F"/>
        </w:rPr>
        <w:t>Asphaltic Concrete Paving: Section 32 12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16.</w:t>
      </w:r>
    </w:p>
    <w:p w14:paraId="5FAD6938" w14:textId="77777777" w:rsidR="00991D19" w:rsidRDefault="00D329BA" w:rsidP="003F0D0C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ind w:left="720" w:hanging="720"/>
        <w:jc w:val="both"/>
      </w:pPr>
      <w:r>
        <w:rPr>
          <w:color w:val="221F1F"/>
        </w:rPr>
        <w:t>REFERENCE</w:t>
      </w:r>
    </w:p>
    <w:p w14:paraId="1AAA7EE9" w14:textId="77777777" w:rsidR="00991D19" w:rsidRDefault="00D329BA" w:rsidP="00051B8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/>
        <w:jc w:val="both"/>
      </w:pPr>
      <w:r>
        <w:rPr>
          <w:color w:val="221F1F"/>
        </w:rPr>
        <w:t>Requirements in Addenda, Alternates, Conditions, and Division 1 collectively apply to this work.</w:t>
      </w:r>
    </w:p>
    <w:p w14:paraId="5DAC2B52" w14:textId="77777777" w:rsidR="00991D19" w:rsidRDefault="00D329BA" w:rsidP="003F0D0C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ind w:left="720" w:hanging="720"/>
        <w:jc w:val="both"/>
      </w:pPr>
      <w:r>
        <w:rPr>
          <w:color w:val="221F1F"/>
        </w:rPr>
        <w:t>SUBSTITUTIONS</w:t>
      </w:r>
    </w:p>
    <w:p w14:paraId="3106CE8B" w14:textId="77777777" w:rsidR="00991D19" w:rsidRDefault="00D329BA" w:rsidP="00051B8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/>
        <w:jc w:val="both"/>
      </w:pPr>
      <w:r>
        <w:rPr>
          <w:color w:val="221F1F"/>
        </w:rPr>
        <w:t>Only written approval of the Architect, by Addenda or Construction Change Document, will permit substitutions for materials specified: Refer to Section 01 25 13 Product Options and Substitutions.</w:t>
      </w:r>
    </w:p>
    <w:p w14:paraId="2AAEFEE7" w14:textId="77777777" w:rsidR="00991D19" w:rsidRDefault="00D329BA" w:rsidP="003F0D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both"/>
      </w:pPr>
      <w:r>
        <w:rPr>
          <w:color w:val="221F1F"/>
        </w:rPr>
        <w:t>PART 2 - PRODUCTS</w:t>
      </w:r>
    </w:p>
    <w:p w14:paraId="39ADBECF" w14:textId="77777777" w:rsidR="00991D19" w:rsidRDefault="00D329BA" w:rsidP="003F0D0C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both"/>
      </w:pPr>
      <w:r>
        <w:rPr>
          <w:color w:val="221F1F"/>
        </w:rPr>
        <w:t>MATERIALS</w:t>
      </w:r>
    </w:p>
    <w:p w14:paraId="597DEE2E" w14:textId="77777777" w:rsidR="00991D19" w:rsidRDefault="00D329BA" w:rsidP="00933693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</w:pPr>
      <w:r>
        <w:rPr>
          <w:color w:val="221F1F"/>
        </w:rPr>
        <w:t>Bumpers:</w:t>
      </w:r>
    </w:p>
    <w:p w14:paraId="4F273287" w14:textId="77777777" w:rsidR="00991D19" w:rsidRDefault="00D329BA" w:rsidP="00933693">
      <w:pPr>
        <w:pStyle w:val="ListParagraph"/>
        <w:numPr>
          <w:ilvl w:val="3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160" w:hanging="720"/>
        <w:jc w:val="both"/>
      </w:pPr>
      <w:r>
        <w:rPr>
          <w:color w:val="221F1F"/>
        </w:rPr>
        <w:t>Acceptable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Manufacturers:</w:t>
      </w:r>
    </w:p>
    <w:p w14:paraId="2DCA3A63" w14:textId="77777777" w:rsidR="00991D19" w:rsidRDefault="00D329BA" w:rsidP="00933693">
      <w:pPr>
        <w:pStyle w:val="ListParagraph"/>
        <w:numPr>
          <w:ilvl w:val="4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880" w:hanging="720"/>
        <w:jc w:val="both"/>
      </w:pPr>
      <w:proofErr w:type="spellStart"/>
      <w:r>
        <w:rPr>
          <w:color w:val="221F1F"/>
        </w:rPr>
        <w:t>E.K</w:t>
      </w:r>
      <w:proofErr w:type="spellEnd"/>
      <w:r>
        <w:rPr>
          <w:color w:val="221F1F"/>
        </w:rPr>
        <w:t xml:space="preserve">. </w:t>
      </w:r>
      <w:proofErr w:type="spellStart"/>
      <w:r>
        <w:rPr>
          <w:color w:val="221F1F"/>
        </w:rPr>
        <w:t>Sheefer</w:t>
      </w:r>
      <w:proofErr w:type="spellEnd"/>
      <w:r>
        <w:rPr>
          <w:color w:val="221F1F"/>
        </w:rPr>
        <w:t xml:space="preserve"> &amp; Sons, Paramount,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California.</w:t>
      </w:r>
    </w:p>
    <w:p w14:paraId="422EBD88" w14:textId="77777777" w:rsidR="00991D19" w:rsidRDefault="00D329BA" w:rsidP="00933693">
      <w:pPr>
        <w:pStyle w:val="ListParagraph"/>
        <w:numPr>
          <w:ilvl w:val="4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880" w:hanging="720"/>
        <w:jc w:val="both"/>
      </w:pPr>
      <w:r>
        <w:rPr>
          <w:color w:val="221F1F"/>
        </w:rPr>
        <w:t>Other Manufacturers: As accepted by</w:t>
      </w:r>
      <w:r>
        <w:rPr>
          <w:color w:val="221F1F"/>
          <w:spacing w:val="-19"/>
        </w:rPr>
        <w:t xml:space="preserve"> </w:t>
      </w:r>
      <w:r>
        <w:rPr>
          <w:color w:val="221F1F"/>
        </w:rPr>
        <w:t>Architect.</w:t>
      </w:r>
    </w:p>
    <w:p w14:paraId="1629F4E2" w14:textId="77777777" w:rsidR="00991D19" w:rsidRDefault="00D329BA" w:rsidP="00933693">
      <w:pPr>
        <w:pStyle w:val="ListParagraph"/>
        <w:numPr>
          <w:ilvl w:val="3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160" w:hanging="720"/>
        <w:jc w:val="both"/>
      </w:pPr>
      <w:r>
        <w:rPr>
          <w:color w:val="221F1F"/>
        </w:rPr>
        <w:t>Type: Pre-cast reinforced concrete, with fastening holes each</w:t>
      </w:r>
      <w:r>
        <w:rPr>
          <w:color w:val="221F1F"/>
          <w:spacing w:val="-28"/>
        </w:rPr>
        <w:t xml:space="preserve"> </w:t>
      </w:r>
      <w:r>
        <w:rPr>
          <w:color w:val="221F1F"/>
        </w:rPr>
        <w:t>end.</w:t>
      </w:r>
    </w:p>
    <w:p w14:paraId="62A439D9" w14:textId="77777777" w:rsidR="00991D19" w:rsidRDefault="00D329BA" w:rsidP="00933693">
      <w:pPr>
        <w:pStyle w:val="ListParagraph"/>
        <w:numPr>
          <w:ilvl w:val="3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160" w:hanging="720"/>
        <w:jc w:val="both"/>
      </w:pPr>
      <w:r>
        <w:rPr>
          <w:color w:val="221F1F"/>
        </w:rPr>
        <w:t>Lengths: 4' typical at Accessible parking stalls; other lengths as</w:t>
      </w:r>
      <w:r>
        <w:rPr>
          <w:color w:val="221F1F"/>
          <w:spacing w:val="-37"/>
        </w:rPr>
        <w:t xml:space="preserve"> </w:t>
      </w:r>
      <w:r>
        <w:rPr>
          <w:color w:val="221F1F"/>
        </w:rPr>
        <w:t>noted.</w:t>
      </w:r>
    </w:p>
    <w:p w14:paraId="6F6A75D8" w14:textId="77777777" w:rsidR="00991D19" w:rsidRDefault="00D329BA" w:rsidP="00933693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 w:line="240" w:lineRule="auto"/>
        <w:ind w:left="1440" w:hanging="720"/>
        <w:jc w:val="both"/>
      </w:pPr>
      <w:r>
        <w:rPr>
          <w:color w:val="221F1F"/>
        </w:rPr>
        <w:t>Anchor Pins: #5 rebar x 2'-0" long (two minimum per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bumper).</w:t>
      </w:r>
    </w:p>
    <w:p w14:paraId="10428CA3" w14:textId="77777777" w:rsidR="00991D19" w:rsidRDefault="00D329BA" w:rsidP="003F0D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both"/>
      </w:pPr>
      <w:r>
        <w:rPr>
          <w:color w:val="221F1F"/>
        </w:rPr>
        <w:t>PART 3 - EXECUTION</w:t>
      </w:r>
    </w:p>
    <w:p w14:paraId="552DB664" w14:textId="4169CA26" w:rsidR="00991D19" w:rsidRDefault="00D329BA" w:rsidP="003F0D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both"/>
      </w:pPr>
      <w:r>
        <w:rPr>
          <w:color w:val="221F1F"/>
        </w:rPr>
        <w:t>3.01</w:t>
      </w:r>
      <w:r w:rsidR="003F0D0C">
        <w:rPr>
          <w:color w:val="221F1F"/>
        </w:rPr>
        <w:tab/>
      </w:r>
      <w:r>
        <w:rPr>
          <w:color w:val="221F1F"/>
        </w:rPr>
        <w:t>INSTALLATION</w:t>
      </w:r>
    </w:p>
    <w:p w14:paraId="55BB0F5D" w14:textId="77777777" w:rsidR="00991D19" w:rsidRDefault="00D329BA" w:rsidP="0093369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/>
        <w:jc w:val="both"/>
      </w:pPr>
      <w:r>
        <w:rPr>
          <w:color w:val="221F1F"/>
        </w:rPr>
        <w:t>Accurately layout locations. Securely anchor in place with anchor pins driven in holes.</w:t>
      </w:r>
    </w:p>
    <w:p w14:paraId="0CCF27F3" w14:textId="77777777" w:rsidR="00991D19" w:rsidRDefault="00D329BA" w:rsidP="003F0D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center"/>
      </w:pPr>
      <w:r>
        <w:rPr>
          <w:color w:val="221F1F"/>
        </w:rPr>
        <w:t>END OF SECTION</w:t>
      </w:r>
    </w:p>
    <w:p w14:paraId="7ECC2550" w14:textId="77777777" w:rsidR="00991D19" w:rsidRDefault="00991D19" w:rsidP="0014551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sz w:val="20"/>
        </w:rPr>
      </w:pPr>
    </w:p>
    <w:sectPr w:rsidR="00991D19" w:rsidSect="00020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2799" w14:textId="77777777" w:rsidR="00E12DE8" w:rsidRDefault="00E12DE8" w:rsidP="009E1EEB">
      <w:r>
        <w:separator/>
      </w:r>
    </w:p>
  </w:endnote>
  <w:endnote w:type="continuationSeparator" w:id="0">
    <w:p w14:paraId="7D6DC271" w14:textId="77777777" w:rsidR="00E12DE8" w:rsidRDefault="00E12DE8" w:rsidP="009E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681E" w14:textId="77777777" w:rsidR="00933693" w:rsidRDefault="00933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F252" w14:textId="3EB38945" w:rsidR="00EC35B9" w:rsidRPr="00EC35B9" w:rsidRDefault="00EC35B9" w:rsidP="00EC35B9">
    <w:pPr>
      <w:pStyle w:val="Footer"/>
      <w:rPr>
        <w:bCs/>
        <w:sz w:val="20"/>
        <w:szCs w:val="20"/>
      </w:rPr>
    </w:pPr>
    <w:r w:rsidRPr="00EC35B9">
      <w:rPr>
        <w:sz w:val="20"/>
        <w:szCs w:val="20"/>
      </w:rPr>
      <w:t>Revised:  01/07/22</w:t>
    </w:r>
    <w:r w:rsidRPr="00EC35B9">
      <w:rPr>
        <w:sz w:val="20"/>
        <w:szCs w:val="20"/>
      </w:rPr>
      <w:tab/>
    </w:r>
    <w:r w:rsidRPr="00EC35B9">
      <w:rPr>
        <w:sz w:val="20"/>
        <w:szCs w:val="20"/>
      </w:rPr>
      <w:tab/>
      <w:t xml:space="preserve">Page </w:t>
    </w:r>
    <w:r w:rsidRPr="00EC35B9">
      <w:rPr>
        <w:bCs/>
        <w:sz w:val="20"/>
        <w:szCs w:val="20"/>
      </w:rPr>
      <w:fldChar w:fldCharType="begin"/>
    </w:r>
    <w:r w:rsidRPr="00EC35B9">
      <w:rPr>
        <w:bCs/>
        <w:sz w:val="20"/>
        <w:szCs w:val="20"/>
      </w:rPr>
      <w:instrText xml:space="preserve"> PAGE </w:instrText>
    </w:r>
    <w:r w:rsidRPr="00EC35B9">
      <w:rPr>
        <w:bCs/>
        <w:sz w:val="20"/>
        <w:szCs w:val="20"/>
      </w:rPr>
      <w:fldChar w:fldCharType="separate"/>
    </w:r>
    <w:r w:rsidRPr="00EC35B9">
      <w:rPr>
        <w:bCs/>
        <w:sz w:val="20"/>
        <w:szCs w:val="20"/>
      </w:rPr>
      <w:t>5</w:t>
    </w:r>
    <w:r w:rsidRPr="00EC35B9">
      <w:rPr>
        <w:sz w:val="20"/>
        <w:szCs w:val="20"/>
      </w:rPr>
      <w:fldChar w:fldCharType="end"/>
    </w:r>
    <w:r w:rsidRPr="00EC35B9">
      <w:rPr>
        <w:sz w:val="20"/>
        <w:szCs w:val="20"/>
      </w:rPr>
      <w:t xml:space="preserve"> of </w:t>
    </w:r>
    <w:r w:rsidRPr="00EC35B9">
      <w:rPr>
        <w:bCs/>
        <w:sz w:val="20"/>
        <w:szCs w:val="20"/>
      </w:rPr>
      <w:fldChar w:fldCharType="begin"/>
    </w:r>
    <w:r w:rsidRPr="00EC35B9">
      <w:rPr>
        <w:bCs/>
        <w:sz w:val="20"/>
        <w:szCs w:val="20"/>
      </w:rPr>
      <w:instrText xml:space="preserve"> NUMPAGES  </w:instrText>
    </w:r>
    <w:r w:rsidRPr="00EC35B9">
      <w:rPr>
        <w:bCs/>
        <w:sz w:val="20"/>
        <w:szCs w:val="20"/>
      </w:rPr>
      <w:fldChar w:fldCharType="separate"/>
    </w:r>
    <w:r w:rsidRPr="00EC35B9">
      <w:rPr>
        <w:bCs/>
        <w:sz w:val="20"/>
        <w:szCs w:val="20"/>
      </w:rPr>
      <w:t>7</w:t>
    </w:r>
    <w:r w:rsidRPr="00EC35B9">
      <w:rPr>
        <w:sz w:val="20"/>
        <w:szCs w:val="20"/>
      </w:rPr>
      <w:fldChar w:fldCharType="end"/>
    </w:r>
  </w:p>
  <w:p w14:paraId="7B9563B6" w14:textId="6339F5AF" w:rsidR="00EC35B9" w:rsidRPr="00EC35B9" w:rsidRDefault="00EC35B9" w:rsidP="00EC35B9">
    <w:pPr>
      <w:pStyle w:val="Footer"/>
      <w:jc w:val="right"/>
      <w:rPr>
        <w:sz w:val="20"/>
        <w:szCs w:val="20"/>
      </w:rPr>
    </w:pPr>
    <w:r w:rsidRPr="00EC35B9">
      <w:rPr>
        <w:sz w:val="20"/>
        <w:szCs w:val="20"/>
      </w:rPr>
      <w:t>Parking Bumpers</w:t>
    </w:r>
  </w:p>
  <w:p w14:paraId="75BE69B0" w14:textId="08E6EAF6" w:rsidR="009E1EEB" w:rsidRPr="00EC35B9" w:rsidRDefault="00EC35B9" w:rsidP="00EC35B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Section </w:t>
    </w:r>
    <w:r w:rsidRPr="00EC35B9">
      <w:rPr>
        <w:sz w:val="20"/>
        <w:szCs w:val="20"/>
      </w:rPr>
      <w:t>32 17 13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874A" w14:textId="77777777" w:rsidR="00933693" w:rsidRDefault="00933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CF00" w14:textId="77777777" w:rsidR="00E12DE8" w:rsidRDefault="00E12DE8" w:rsidP="009E1EEB">
      <w:r>
        <w:separator/>
      </w:r>
    </w:p>
  </w:footnote>
  <w:footnote w:type="continuationSeparator" w:id="0">
    <w:p w14:paraId="5C21C1F8" w14:textId="77777777" w:rsidR="00E12DE8" w:rsidRDefault="00E12DE8" w:rsidP="009E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53F9" w14:textId="77777777" w:rsidR="00933693" w:rsidRDefault="00933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C736" w14:textId="251C98F2" w:rsidR="009E1EEB" w:rsidRDefault="009E1EEB" w:rsidP="009E1EEB">
    <w:pPr>
      <w:pStyle w:val="Header"/>
      <w:jc w:val="right"/>
    </w:pPr>
    <w:r w:rsidRPr="009E1EEB">
      <w:t>Fontana Unified School District</w:t>
    </w:r>
  </w:p>
  <w:p w14:paraId="44A483ED" w14:textId="33C489B6" w:rsidR="009E1EEB" w:rsidRPr="009E1EEB" w:rsidRDefault="009E1EEB" w:rsidP="009E1EEB">
    <w:pPr>
      <w:pStyle w:val="Header"/>
      <w:jc w:val="right"/>
    </w:pPr>
    <w:bookmarkStart w:id="0" w:name="_Hlk108790538"/>
    <w:bookmarkStart w:id="1" w:name="_Hlk108790539"/>
    <w:r w:rsidRPr="009E1EEB">
      <w:t>PARKING BUMPERS</w:t>
    </w:r>
  </w:p>
  <w:p w14:paraId="7665E8F2" w14:textId="77777777" w:rsidR="009E1EEB" w:rsidRPr="009E1EEB" w:rsidRDefault="009E1EEB" w:rsidP="009E1EEB">
    <w:pPr>
      <w:pStyle w:val="Header"/>
      <w:jc w:val="right"/>
    </w:pPr>
    <w:r w:rsidRPr="009E1EEB">
      <w:t xml:space="preserve">32 17 13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C455" w14:textId="77777777" w:rsidR="00933693" w:rsidRDefault="00933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134"/>
    <w:multiLevelType w:val="multilevel"/>
    <w:tmpl w:val="F710CE94"/>
    <w:lvl w:ilvl="0">
      <w:start w:val="1"/>
      <w:numFmt w:val="decimal"/>
      <w:lvlText w:val="%1"/>
      <w:lvlJc w:val="left"/>
      <w:pPr>
        <w:ind w:left="640" w:hanging="540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40" w:hanging="540"/>
        <w:jc w:val="left"/>
      </w:pPr>
      <w:rPr>
        <w:rFonts w:ascii="Century Gothic" w:eastAsia="Century Gothic" w:hAnsi="Century Gothic" w:cs="Century Gothic" w:hint="default"/>
        <w:color w:val="221F1F"/>
        <w:spacing w:val="-3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540"/>
        <w:jc w:val="left"/>
      </w:pPr>
      <w:rPr>
        <w:rFonts w:ascii="Century Gothic" w:eastAsia="Century Gothic" w:hAnsi="Century Gothic" w:cs="Century Gothic" w:hint="default"/>
        <w:color w:val="221F1F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720" w:hanging="540"/>
        <w:jc w:val="left"/>
      </w:pPr>
      <w:rPr>
        <w:rFonts w:ascii="Century Gothic" w:eastAsia="Century Gothic" w:hAnsi="Century Gothic" w:cs="Century Gothic" w:hint="default"/>
        <w:color w:val="221F1F"/>
        <w:w w:val="100"/>
        <w:sz w:val="22"/>
        <w:szCs w:val="22"/>
      </w:rPr>
    </w:lvl>
    <w:lvl w:ilvl="4">
      <w:numFmt w:val="bullet"/>
      <w:lvlText w:val="•"/>
      <w:lvlJc w:val="left"/>
      <w:pPr>
        <w:ind w:left="3685" w:hanging="540"/>
      </w:pPr>
      <w:rPr>
        <w:rFonts w:hint="default"/>
      </w:rPr>
    </w:lvl>
    <w:lvl w:ilvl="5">
      <w:numFmt w:val="bullet"/>
      <w:lvlText w:val="•"/>
      <w:lvlJc w:val="left"/>
      <w:pPr>
        <w:ind w:left="4667" w:hanging="540"/>
      </w:pPr>
      <w:rPr>
        <w:rFonts w:hint="default"/>
      </w:rPr>
    </w:lvl>
    <w:lvl w:ilvl="6">
      <w:numFmt w:val="bullet"/>
      <w:lvlText w:val="•"/>
      <w:lvlJc w:val="left"/>
      <w:pPr>
        <w:ind w:left="5650" w:hanging="540"/>
      </w:pPr>
      <w:rPr>
        <w:rFonts w:hint="default"/>
      </w:rPr>
    </w:lvl>
    <w:lvl w:ilvl="7">
      <w:numFmt w:val="bullet"/>
      <w:lvlText w:val="•"/>
      <w:lvlJc w:val="left"/>
      <w:pPr>
        <w:ind w:left="6632" w:hanging="540"/>
      </w:pPr>
      <w:rPr>
        <w:rFonts w:hint="default"/>
      </w:rPr>
    </w:lvl>
    <w:lvl w:ilvl="8">
      <w:numFmt w:val="bullet"/>
      <w:lvlText w:val="•"/>
      <w:lvlJc w:val="left"/>
      <w:pPr>
        <w:ind w:left="7615" w:hanging="540"/>
      </w:pPr>
      <w:rPr>
        <w:rFonts w:hint="default"/>
      </w:rPr>
    </w:lvl>
  </w:abstractNum>
  <w:abstractNum w:abstractNumId="1" w15:restartNumberingAfterBreak="0">
    <w:nsid w:val="2FAB78DA"/>
    <w:multiLevelType w:val="multilevel"/>
    <w:tmpl w:val="7B643D0A"/>
    <w:lvl w:ilvl="0">
      <w:start w:val="2"/>
      <w:numFmt w:val="decimal"/>
      <w:lvlText w:val="%1"/>
      <w:lvlJc w:val="left"/>
      <w:pPr>
        <w:ind w:left="640" w:hanging="540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40" w:hanging="540"/>
        <w:jc w:val="left"/>
      </w:pPr>
      <w:rPr>
        <w:rFonts w:ascii="Century Gothic" w:eastAsia="Century Gothic" w:hAnsi="Century Gothic" w:cs="Century Gothic" w:hint="default"/>
        <w:color w:val="221F1F"/>
        <w:spacing w:val="-3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180" w:hanging="540"/>
        <w:jc w:val="left"/>
      </w:pPr>
      <w:rPr>
        <w:rFonts w:ascii="Century Gothic" w:eastAsia="Century Gothic" w:hAnsi="Century Gothic" w:cs="Century Gothic" w:hint="default"/>
        <w:color w:val="221F1F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720" w:hanging="540"/>
        <w:jc w:val="left"/>
      </w:pPr>
      <w:rPr>
        <w:rFonts w:ascii="Century Gothic" w:eastAsia="Century Gothic" w:hAnsi="Century Gothic" w:cs="Century Gothic" w:hint="default"/>
        <w:color w:val="221F1F"/>
        <w:spacing w:val="-3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2261" w:hanging="541"/>
        <w:jc w:val="left"/>
      </w:pPr>
      <w:rPr>
        <w:rFonts w:ascii="Century Gothic" w:eastAsia="Century Gothic" w:hAnsi="Century Gothic" w:cs="Century Gothic" w:hint="default"/>
        <w:color w:val="221F1F"/>
        <w:w w:val="100"/>
        <w:sz w:val="22"/>
        <w:szCs w:val="22"/>
      </w:rPr>
    </w:lvl>
    <w:lvl w:ilvl="5">
      <w:numFmt w:val="bullet"/>
      <w:lvlText w:val="•"/>
      <w:lvlJc w:val="left"/>
      <w:pPr>
        <w:ind w:left="4351" w:hanging="541"/>
      </w:pPr>
      <w:rPr>
        <w:rFonts w:hint="default"/>
      </w:rPr>
    </w:lvl>
    <w:lvl w:ilvl="6">
      <w:numFmt w:val="bullet"/>
      <w:lvlText w:val="•"/>
      <w:lvlJc w:val="left"/>
      <w:pPr>
        <w:ind w:left="5397" w:hanging="541"/>
      </w:pPr>
      <w:rPr>
        <w:rFonts w:hint="default"/>
      </w:rPr>
    </w:lvl>
    <w:lvl w:ilvl="7">
      <w:numFmt w:val="bullet"/>
      <w:lvlText w:val="•"/>
      <w:lvlJc w:val="left"/>
      <w:pPr>
        <w:ind w:left="6442" w:hanging="541"/>
      </w:pPr>
      <w:rPr>
        <w:rFonts w:hint="default"/>
      </w:rPr>
    </w:lvl>
    <w:lvl w:ilvl="8">
      <w:numFmt w:val="bullet"/>
      <w:lvlText w:val="•"/>
      <w:lvlJc w:val="left"/>
      <w:pPr>
        <w:ind w:left="7488" w:hanging="541"/>
      </w:pPr>
      <w:rPr>
        <w:rFonts w:hint="default"/>
      </w:rPr>
    </w:lvl>
  </w:abstractNum>
  <w:num w:numId="1" w16cid:durableId="1032658027">
    <w:abstractNumId w:val="1"/>
  </w:num>
  <w:num w:numId="2" w16cid:durableId="200443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D19"/>
    <w:rsid w:val="00020901"/>
    <w:rsid w:val="00051B8B"/>
    <w:rsid w:val="00145515"/>
    <w:rsid w:val="003F0D0C"/>
    <w:rsid w:val="0082264A"/>
    <w:rsid w:val="00933693"/>
    <w:rsid w:val="00991D19"/>
    <w:rsid w:val="009E1EEB"/>
    <w:rsid w:val="00D329BA"/>
    <w:rsid w:val="00E12DE8"/>
    <w:rsid w:val="00E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18BAC"/>
  <w15:docId w15:val="{771D814B-512E-484F-9E80-A0D2EDA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1720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1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EEB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9E1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EEB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kathy binks specification 10-12-20.pdf</dc:title>
  <dc:creator>KPI</dc:creator>
  <cp:lastModifiedBy>Nancy Pilkington</cp:lastModifiedBy>
  <cp:revision>10</cp:revision>
  <dcterms:created xsi:type="dcterms:W3CDTF">2022-07-14T18:23:00Z</dcterms:created>
  <dcterms:modified xsi:type="dcterms:W3CDTF">2022-07-15T20:17:00Z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2022-07-14T00:00:00Z</vt:filetime>
  </property>
</Properties>
</file>