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CF43" w14:textId="44F26C95" w:rsidR="001A40D6" w:rsidRPr="0019350B" w:rsidRDefault="0019350B" w:rsidP="0019350B">
      <w:pPr>
        <w:keepNext/>
        <w:widowControl/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19350B">
        <w:rPr>
          <w:rFonts w:ascii="Century Gothic" w:eastAsia="Times New Roman" w:hAnsi="Century Gothic" w:cs="Times New Roman"/>
          <w:b/>
          <w:bCs/>
          <w:spacing w:val="-3"/>
          <w:lang w:bidi="ar-SA"/>
        </w:rPr>
        <w:t>PART 1</w:t>
      </w:r>
      <w:r w:rsidRPr="0019350B">
        <w:rPr>
          <w:rFonts w:ascii="Century Gothic" w:eastAsia="Times New Roman" w:hAnsi="Century Gothic" w:cs="Times New Roman"/>
          <w:b/>
          <w:bCs/>
          <w:spacing w:val="-3"/>
          <w:lang w:bidi="ar-SA"/>
        </w:rPr>
        <w:tab/>
        <w:t>GENERAL</w:t>
      </w:r>
    </w:p>
    <w:p w14:paraId="59934626" w14:textId="77777777" w:rsidR="001A40D6" w:rsidRPr="00492B4C" w:rsidRDefault="000A2A1D" w:rsidP="00492B4C">
      <w:pPr>
        <w:keepNext/>
        <w:widowControl/>
        <w:numPr>
          <w:ilvl w:val="1"/>
          <w:numId w:val="3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92B4C">
        <w:rPr>
          <w:rFonts w:ascii="Century Gothic" w:eastAsia="Times New Roman" w:hAnsi="Century Gothic" w:cs="Times New Roman"/>
          <w:b/>
          <w:bCs/>
          <w:spacing w:val="-3"/>
          <w:lang w:bidi="ar-SA"/>
        </w:rPr>
        <w:t>WORK INCLUDED</w:t>
      </w:r>
    </w:p>
    <w:p w14:paraId="79C5CCC4" w14:textId="77777777" w:rsidR="001A40D6" w:rsidRPr="004B048E" w:rsidRDefault="000A2A1D" w:rsidP="004B048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Disconnect switches.</w:t>
      </w:r>
    </w:p>
    <w:p w14:paraId="1C02A7C5" w14:textId="77777777" w:rsidR="001A40D6" w:rsidRPr="004B048E" w:rsidRDefault="000A2A1D" w:rsidP="004B048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Fuses.</w:t>
      </w:r>
    </w:p>
    <w:p w14:paraId="4A60A9FD" w14:textId="77777777" w:rsidR="001A40D6" w:rsidRPr="004B048E" w:rsidRDefault="000A2A1D" w:rsidP="004B048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Enclosures.</w:t>
      </w:r>
    </w:p>
    <w:p w14:paraId="5CDD5A73" w14:textId="77777777" w:rsidR="001A40D6" w:rsidRPr="00492B4C" w:rsidRDefault="000A2A1D" w:rsidP="00492B4C">
      <w:pPr>
        <w:keepNext/>
        <w:widowControl/>
        <w:numPr>
          <w:ilvl w:val="1"/>
          <w:numId w:val="3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92B4C">
        <w:rPr>
          <w:rFonts w:ascii="Century Gothic" w:eastAsia="Times New Roman" w:hAnsi="Century Gothic" w:cs="Times New Roman"/>
          <w:b/>
          <w:bCs/>
          <w:spacing w:val="-3"/>
          <w:lang w:bidi="ar-SA"/>
        </w:rPr>
        <w:t>REFERENCES</w:t>
      </w:r>
    </w:p>
    <w:p w14:paraId="69F76CD7" w14:textId="77777777" w:rsidR="001A40D6" w:rsidRPr="004B048E" w:rsidRDefault="000A2A1D" w:rsidP="004B048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ANSI/UL 198C - High-Intensity Capacity Fuses; Current Limiting Types.</w:t>
      </w:r>
    </w:p>
    <w:p w14:paraId="212C5F83" w14:textId="77777777" w:rsidR="001A40D6" w:rsidRPr="004B048E" w:rsidRDefault="000A2A1D" w:rsidP="004B048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ANSI/UL 198E - Class R Fuses.</w:t>
      </w:r>
    </w:p>
    <w:p w14:paraId="767EDB21" w14:textId="77777777" w:rsidR="001A40D6" w:rsidRPr="004B048E" w:rsidRDefault="000A2A1D" w:rsidP="004B048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 xml:space="preserve">FS W-F-870 - </w:t>
      </w:r>
      <w:proofErr w:type="spellStart"/>
      <w:r w:rsidRPr="004B048E">
        <w:rPr>
          <w:rFonts w:ascii="Century Gothic" w:eastAsia="Times New Roman" w:hAnsi="Century Gothic" w:cs="Times New Roman"/>
          <w:spacing w:val="-3"/>
          <w:lang w:bidi="ar-SA"/>
        </w:rPr>
        <w:t>Fuseholders</w:t>
      </w:r>
      <w:proofErr w:type="spellEnd"/>
      <w:r w:rsidRPr="004B048E">
        <w:rPr>
          <w:rFonts w:ascii="Century Gothic" w:eastAsia="Times New Roman" w:hAnsi="Century Gothic" w:cs="Times New Roman"/>
          <w:spacing w:val="-3"/>
          <w:lang w:bidi="ar-SA"/>
        </w:rPr>
        <w:t xml:space="preserve"> (For Plug and Enclosed Cartridge Fuses).</w:t>
      </w:r>
    </w:p>
    <w:p w14:paraId="320FF810" w14:textId="77777777" w:rsidR="001A40D6" w:rsidRPr="004B048E" w:rsidRDefault="000A2A1D" w:rsidP="004B048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FS W-S-865 - Switch, Box, (Enclosed), Surface-Mounted.</w:t>
      </w:r>
    </w:p>
    <w:p w14:paraId="547A6A07" w14:textId="77777777" w:rsidR="001A40D6" w:rsidRPr="004B048E" w:rsidRDefault="000A2A1D" w:rsidP="004B048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NEMA KS 1 - Enclosed Switches.</w:t>
      </w:r>
    </w:p>
    <w:p w14:paraId="4B20F876" w14:textId="77777777" w:rsidR="001A40D6" w:rsidRPr="004B048E" w:rsidRDefault="000A2A1D" w:rsidP="004B048E">
      <w:pPr>
        <w:widowControl/>
        <w:numPr>
          <w:ilvl w:val="2"/>
          <w:numId w:val="3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C.E.C. California Electrical Code.</w:t>
      </w:r>
    </w:p>
    <w:p w14:paraId="598C8FDF" w14:textId="2607E4EE" w:rsidR="001A40D6" w:rsidRPr="0019350B" w:rsidRDefault="0019350B" w:rsidP="0019350B">
      <w:pPr>
        <w:keepNext/>
        <w:widowControl/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19350B">
        <w:rPr>
          <w:rFonts w:ascii="Century Gothic" w:eastAsia="Times New Roman" w:hAnsi="Century Gothic" w:cs="Times New Roman"/>
          <w:b/>
          <w:bCs/>
          <w:spacing w:val="-3"/>
          <w:lang w:bidi="ar-SA"/>
        </w:rPr>
        <w:t>PART 2</w:t>
      </w:r>
      <w:r w:rsidRPr="0019350B">
        <w:rPr>
          <w:rFonts w:ascii="Century Gothic" w:eastAsia="Times New Roman" w:hAnsi="Century Gothic" w:cs="Times New Roman"/>
          <w:b/>
          <w:bCs/>
          <w:spacing w:val="-3"/>
          <w:lang w:bidi="ar-SA"/>
        </w:rPr>
        <w:tab/>
        <w:t>PRODUCTS</w:t>
      </w:r>
    </w:p>
    <w:p w14:paraId="23088992" w14:textId="77777777" w:rsidR="001A40D6" w:rsidRPr="00492B4C" w:rsidRDefault="000A2A1D" w:rsidP="00492B4C">
      <w:pPr>
        <w:keepNext/>
        <w:widowControl/>
        <w:numPr>
          <w:ilvl w:val="1"/>
          <w:numId w:val="2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92B4C">
        <w:rPr>
          <w:rFonts w:ascii="Century Gothic" w:eastAsia="Times New Roman" w:hAnsi="Century Gothic" w:cs="Times New Roman"/>
          <w:b/>
          <w:bCs/>
          <w:spacing w:val="-3"/>
          <w:lang w:bidi="ar-SA"/>
        </w:rPr>
        <w:t>MANUFACTURERS - DISCONNECT SWITCHES</w:t>
      </w:r>
    </w:p>
    <w:p w14:paraId="218ED6F4" w14:textId="77777777" w:rsidR="001A40D6" w:rsidRPr="004B048E" w:rsidRDefault="000A2A1D" w:rsidP="004B048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Square D.</w:t>
      </w:r>
    </w:p>
    <w:p w14:paraId="4411D08C" w14:textId="77777777" w:rsidR="001A40D6" w:rsidRPr="004B048E" w:rsidRDefault="000A2A1D" w:rsidP="004B048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General Electric.</w:t>
      </w:r>
    </w:p>
    <w:p w14:paraId="45676DD6" w14:textId="77777777" w:rsidR="001A40D6" w:rsidRPr="004B048E" w:rsidRDefault="000A2A1D" w:rsidP="004B048E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4B048E">
        <w:rPr>
          <w:rFonts w:ascii="Century Gothic" w:eastAsia="Times New Roman" w:hAnsi="Century Gothic" w:cs="Times New Roman"/>
          <w:spacing w:val="-3"/>
          <w:lang w:bidi="ar-SA"/>
        </w:rPr>
        <w:t>As specified by District.</w:t>
      </w:r>
    </w:p>
    <w:p w14:paraId="51D61BDF" w14:textId="77777777" w:rsidR="001A40D6" w:rsidRPr="00492B4C" w:rsidRDefault="000A2A1D" w:rsidP="00492B4C">
      <w:pPr>
        <w:keepNext/>
        <w:widowControl/>
        <w:numPr>
          <w:ilvl w:val="1"/>
          <w:numId w:val="2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92B4C">
        <w:rPr>
          <w:rFonts w:ascii="Century Gothic" w:eastAsia="Times New Roman" w:hAnsi="Century Gothic" w:cs="Times New Roman"/>
          <w:b/>
          <w:bCs/>
          <w:spacing w:val="-3"/>
          <w:lang w:bidi="ar-SA"/>
        </w:rPr>
        <w:t>DISCONNECT SWITCHES</w:t>
      </w:r>
    </w:p>
    <w:p w14:paraId="40702EBE" w14:textId="2BED8362" w:rsidR="00E23D88" w:rsidRPr="00D206FC" w:rsidRDefault="000A2A1D" w:rsidP="00D206FC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D206FC">
        <w:rPr>
          <w:rFonts w:ascii="Century Gothic" w:eastAsia="Times New Roman" w:hAnsi="Century Gothic" w:cs="Times New Roman"/>
          <w:spacing w:val="-3"/>
          <w:lang w:bidi="ar-SA"/>
        </w:rPr>
        <w:t>Fusible Switch Assemblies: NEMA KS 1; FS W-S-865; quick-make, quick-break,  load interrupter enclosed knife switch with externally operable handle interlocked to prevent opening front cover with switch in ON position. Handle lockable in OFF position. Fuse Clips: FS W-F- 870.</w:t>
      </w:r>
    </w:p>
    <w:p w14:paraId="17BCFE09" w14:textId="77777777" w:rsidR="00E23D88" w:rsidRPr="00D206FC" w:rsidRDefault="000A2A1D" w:rsidP="00D206FC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D206FC">
        <w:rPr>
          <w:rFonts w:ascii="Century Gothic" w:eastAsia="Times New Roman" w:hAnsi="Century Gothic" w:cs="Times New Roman"/>
          <w:spacing w:val="-3"/>
          <w:lang w:bidi="ar-SA"/>
        </w:rPr>
        <w:t>Enclosures: NEMA KS 1; Type 1, for interior dry locations; Type 3R for exterior or wet locations. Furnish 1 Master Lock Pro Series 6121 padlock with two keys-keyed to 3221</w:t>
      </w:r>
    </w:p>
    <w:p w14:paraId="486A4FE6" w14:textId="77777777" w:rsidR="00E23D88" w:rsidRPr="00D206FC" w:rsidRDefault="000A2A1D" w:rsidP="00D206FC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D206FC">
        <w:rPr>
          <w:rFonts w:ascii="Century Gothic" w:eastAsia="Times New Roman" w:hAnsi="Century Gothic" w:cs="Times New Roman"/>
          <w:spacing w:val="-3"/>
          <w:lang w:bidi="ar-SA"/>
        </w:rPr>
        <w:t>Switch Ratings: Number of poles, voltage, current and horsepower rating as required for particular installation.</w:t>
      </w:r>
    </w:p>
    <w:p w14:paraId="4F6F3744" w14:textId="77777777" w:rsidR="001A40D6" w:rsidRPr="00492B4C" w:rsidRDefault="000A2A1D" w:rsidP="00492B4C">
      <w:pPr>
        <w:keepNext/>
        <w:widowControl/>
        <w:numPr>
          <w:ilvl w:val="1"/>
          <w:numId w:val="2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92B4C">
        <w:rPr>
          <w:rFonts w:ascii="Century Gothic" w:eastAsia="Times New Roman" w:hAnsi="Century Gothic" w:cs="Times New Roman"/>
          <w:b/>
          <w:bCs/>
          <w:spacing w:val="-3"/>
          <w:lang w:bidi="ar-SA"/>
        </w:rPr>
        <w:t>ACCEPTABLE MANUFACTURERS - FUSES</w:t>
      </w:r>
    </w:p>
    <w:p w14:paraId="617EF071" w14:textId="77777777" w:rsidR="001A40D6" w:rsidRPr="00D206FC" w:rsidRDefault="000A2A1D" w:rsidP="00D206FC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proofErr w:type="spellStart"/>
      <w:r w:rsidRPr="00D206FC">
        <w:rPr>
          <w:rFonts w:ascii="Century Gothic" w:eastAsia="Times New Roman" w:hAnsi="Century Gothic" w:cs="Times New Roman"/>
          <w:spacing w:val="-3"/>
          <w:lang w:bidi="ar-SA"/>
        </w:rPr>
        <w:t>Littelfuse</w:t>
      </w:r>
      <w:proofErr w:type="spellEnd"/>
      <w:r w:rsidRPr="00D206FC">
        <w:rPr>
          <w:rFonts w:ascii="Century Gothic" w:eastAsia="Times New Roman" w:hAnsi="Century Gothic" w:cs="Times New Roman"/>
          <w:spacing w:val="-3"/>
          <w:lang w:bidi="ar-SA"/>
        </w:rPr>
        <w:t>.</w:t>
      </w:r>
    </w:p>
    <w:p w14:paraId="36E0F99A" w14:textId="77777777" w:rsidR="001A40D6" w:rsidRPr="00D206FC" w:rsidRDefault="000A2A1D" w:rsidP="00D206FC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D206FC">
        <w:rPr>
          <w:rFonts w:ascii="Century Gothic" w:eastAsia="Times New Roman" w:hAnsi="Century Gothic" w:cs="Times New Roman"/>
          <w:spacing w:val="-3"/>
          <w:lang w:bidi="ar-SA"/>
        </w:rPr>
        <w:t>Gould Shawmut.</w:t>
      </w:r>
    </w:p>
    <w:p w14:paraId="3FD3623B" w14:textId="77777777" w:rsidR="001A40D6" w:rsidRPr="00D206FC" w:rsidRDefault="000A2A1D" w:rsidP="00D206FC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D206FC">
        <w:rPr>
          <w:rFonts w:ascii="Century Gothic" w:eastAsia="Times New Roman" w:hAnsi="Century Gothic" w:cs="Times New Roman"/>
          <w:spacing w:val="-3"/>
          <w:lang w:bidi="ar-SA"/>
        </w:rPr>
        <w:lastRenderedPageBreak/>
        <w:t>Copper Bussmann.</w:t>
      </w:r>
    </w:p>
    <w:p w14:paraId="71EA2C9F" w14:textId="77777777" w:rsidR="001A40D6" w:rsidRPr="00492B4C" w:rsidRDefault="000A2A1D" w:rsidP="00492B4C">
      <w:pPr>
        <w:keepNext/>
        <w:widowControl/>
        <w:numPr>
          <w:ilvl w:val="1"/>
          <w:numId w:val="2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92B4C">
        <w:rPr>
          <w:rFonts w:ascii="Century Gothic" w:eastAsia="Times New Roman" w:hAnsi="Century Gothic" w:cs="Times New Roman"/>
          <w:b/>
          <w:bCs/>
          <w:spacing w:val="-3"/>
          <w:lang w:bidi="ar-SA"/>
        </w:rPr>
        <w:t>FUSES</w:t>
      </w:r>
    </w:p>
    <w:p w14:paraId="0AD313EE" w14:textId="2B6C3997" w:rsidR="00E23D88" w:rsidRPr="00BC3266" w:rsidRDefault="000A2A1D" w:rsidP="00BC3266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C3266">
        <w:rPr>
          <w:rFonts w:ascii="Century Gothic" w:eastAsia="Times New Roman" w:hAnsi="Century Gothic" w:cs="Times New Roman"/>
          <w:spacing w:val="-3"/>
          <w:lang w:bidi="ar-SA"/>
        </w:rPr>
        <w:t>Fuses 600 Amperes and Less: ANSI/UL 198E, Class RK1; current limiting, one-time fuse, 250 volt.</w:t>
      </w:r>
    </w:p>
    <w:p w14:paraId="12717431" w14:textId="77777777" w:rsidR="001A40D6" w:rsidRPr="00BC3266" w:rsidRDefault="000A2A1D" w:rsidP="00BC3266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C3266">
        <w:rPr>
          <w:rFonts w:ascii="Century Gothic" w:eastAsia="Times New Roman" w:hAnsi="Century Gothic" w:cs="Times New Roman"/>
          <w:spacing w:val="-3"/>
          <w:lang w:bidi="ar-SA"/>
        </w:rPr>
        <w:t>Interrupting Rating: 200,000 rms amperes.</w:t>
      </w:r>
    </w:p>
    <w:p w14:paraId="3779C8C8" w14:textId="77777777" w:rsidR="001A40D6" w:rsidRPr="00BC3266" w:rsidRDefault="000A2A1D" w:rsidP="00BC3266">
      <w:pPr>
        <w:widowControl/>
        <w:numPr>
          <w:ilvl w:val="2"/>
          <w:numId w:val="2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C3266">
        <w:rPr>
          <w:rFonts w:ascii="Century Gothic" w:eastAsia="Times New Roman" w:hAnsi="Century Gothic" w:cs="Times New Roman"/>
          <w:spacing w:val="-3"/>
          <w:lang w:bidi="ar-SA"/>
        </w:rPr>
        <w:t>Size fuses based on motor nameplate rating.</w:t>
      </w:r>
    </w:p>
    <w:p w14:paraId="023A61AB" w14:textId="4C9EA876" w:rsidR="001A40D6" w:rsidRPr="0019350B" w:rsidRDefault="0019350B" w:rsidP="0019350B">
      <w:pPr>
        <w:keepNext/>
        <w:widowControl/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19350B">
        <w:rPr>
          <w:rFonts w:ascii="Century Gothic" w:eastAsia="Times New Roman" w:hAnsi="Century Gothic" w:cs="Times New Roman"/>
          <w:b/>
          <w:bCs/>
          <w:spacing w:val="-3"/>
          <w:lang w:bidi="ar-SA"/>
        </w:rPr>
        <w:t>PART 3</w:t>
      </w:r>
      <w:r w:rsidRPr="0019350B">
        <w:rPr>
          <w:rFonts w:ascii="Century Gothic" w:eastAsia="Times New Roman" w:hAnsi="Century Gothic" w:cs="Times New Roman"/>
          <w:b/>
          <w:bCs/>
          <w:spacing w:val="-3"/>
          <w:lang w:bidi="ar-SA"/>
        </w:rPr>
        <w:tab/>
        <w:t>EXECUTION</w:t>
      </w:r>
    </w:p>
    <w:p w14:paraId="61A6E5D0" w14:textId="77777777" w:rsidR="001A40D6" w:rsidRPr="00492B4C" w:rsidRDefault="000A2A1D" w:rsidP="00492B4C">
      <w:pPr>
        <w:keepNext/>
        <w:widowControl/>
        <w:numPr>
          <w:ilvl w:val="1"/>
          <w:numId w:val="1"/>
        </w:numPr>
        <w:tabs>
          <w:tab w:val="left" w:pos="720"/>
        </w:tabs>
        <w:autoSpaceDE/>
        <w:autoSpaceDN/>
        <w:spacing w:after="200"/>
        <w:ind w:left="720" w:hanging="720"/>
        <w:jc w:val="both"/>
        <w:rPr>
          <w:rFonts w:ascii="Century Gothic" w:eastAsia="Times New Roman" w:hAnsi="Century Gothic" w:cs="Times New Roman"/>
          <w:b/>
          <w:bCs/>
          <w:spacing w:val="-3"/>
          <w:lang w:bidi="ar-SA"/>
        </w:rPr>
      </w:pPr>
      <w:r w:rsidRPr="00492B4C">
        <w:rPr>
          <w:rFonts w:ascii="Century Gothic" w:eastAsia="Times New Roman" w:hAnsi="Century Gothic" w:cs="Times New Roman"/>
          <w:b/>
          <w:bCs/>
          <w:spacing w:val="-3"/>
          <w:lang w:bidi="ar-SA"/>
        </w:rPr>
        <w:t>INSTALLATION</w:t>
      </w:r>
    </w:p>
    <w:p w14:paraId="453CEDB0" w14:textId="77777777" w:rsidR="001A40D6" w:rsidRPr="00BC3266" w:rsidRDefault="000A2A1D" w:rsidP="00BC3266">
      <w:pPr>
        <w:widowControl/>
        <w:numPr>
          <w:ilvl w:val="2"/>
          <w:numId w:val="1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C3266">
        <w:rPr>
          <w:rFonts w:ascii="Century Gothic" w:eastAsia="Times New Roman" w:hAnsi="Century Gothic" w:cs="Times New Roman"/>
          <w:spacing w:val="-3"/>
          <w:lang w:bidi="ar-SA"/>
        </w:rPr>
        <w:t xml:space="preserve">Install disconnect switches </w:t>
      </w:r>
      <w:proofErr w:type="gramStart"/>
      <w:r w:rsidRPr="00BC3266">
        <w:rPr>
          <w:rFonts w:ascii="Century Gothic" w:eastAsia="Times New Roman" w:hAnsi="Century Gothic" w:cs="Times New Roman"/>
          <w:spacing w:val="-3"/>
          <w:lang w:bidi="ar-SA"/>
        </w:rPr>
        <w:t>where</w:t>
      </w:r>
      <w:proofErr w:type="gramEnd"/>
      <w:r w:rsidRPr="00BC3266">
        <w:rPr>
          <w:rFonts w:ascii="Century Gothic" w:eastAsia="Times New Roman" w:hAnsi="Century Gothic" w:cs="Times New Roman"/>
          <w:spacing w:val="-3"/>
          <w:lang w:bidi="ar-SA"/>
        </w:rPr>
        <w:t xml:space="preserve"> indicated on Drawings.</w:t>
      </w:r>
    </w:p>
    <w:p w14:paraId="756A7111" w14:textId="77777777" w:rsidR="001A40D6" w:rsidRPr="00BC3266" w:rsidRDefault="000A2A1D" w:rsidP="00BC3266">
      <w:pPr>
        <w:widowControl/>
        <w:numPr>
          <w:ilvl w:val="2"/>
          <w:numId w:val="1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C3266">
        <w:rPr>
          <w:rFonts w:ascii="Century Gothic" w:eastAsia="Times New Roman" w:hAnsi="Century Gothic" w:cs="Times New Roman"/>
          <w:spacing w:val="-3"/>
          <w:lang w:bidi="ar-SA"/>
        </w:rPr>
        <w:t>Install fuses in fusible disconnect switches, otherwise required by Code.</w:t>
      </w:r>
    </w:p>
    <w:p w14:paraId="248FDF60" w14:textId="77777777" w:rsidR="001A40D6" w:rsidRPr="00BC3266" w:rsidRDefault="000A2A1D" w:rsidP="00BC3266">
      <w:pPr>
        <w:widowControl/>
        <w:numPr>
          <w:ilvl w:val="2"/>
          <w:numId w:val="1"/>
        </w:numPr>
        <w:tabs>
          <w:tab w:val="left" w:pos="720"/>
        </w:tabs>
        <w:autoSpaceDE/>
        <w:autoSpaceDN/>
        <w:spacing w:after="200"/>
        <w:ind w:left="1440" w:hanging="720"/>
        <w:jc w:val="both"/>
        <w:rPr>
          <w:rFonts w:ascii="Century Gothic" w:eastAsia="Times New Roman" w:hAnsi="Century Gothic" w:cs="Times New Roman"/>
          <w:spacing w:val="-3"/>
          <w:lang w:bidi="ar-SA"/>
        </w:rPr>
      </w:pPr>
      <w:r w:rsidRPr="00BC3266">
        <w:rPr>
          <w:rFonts w:ascii="Century Gothic" w:eastAsia="Times New Roman" w:hAnsi="Century Gothic" w:cs="Times New Roman"/>
          <w:spacing w:val="-3"/>
          <w:lang w:bidi="ar-SA"/>
        </w:rPr>
        <w:t>Properly align switches and support independent of the connecting raceway.</w:t>
      </w:r>
    </w:p>
    <w:p w14:paraId="46CAA917" w14:textId="265BA32E" w:rsidR="00E23D88" w:rsidRPr="001A40D6" w:rsidRDefault="000A2A1D" w:rsidP="001A40D6">
      <w:pPr>
        <w:pStyle w:val="Heading1"/>
        <w:spacing w:after="200"/>
        <w:ind w:left="3803" w:right="3778" w:firstLine="0"/>
        <w:jc w:val="both"/>
        <w:rPr>
          <w:rFonts w:ascii="Century Gothic" w:hAnsi="Century Gothic"/>
          <w:b w:val="0"/>
          <w:bCs w:val="0"/>
          <w:sz w:val="22"/>
          <w:szCs w:val="22"/>
        </w:rPr>
      </w:pPr>
      <w:r w:rsidRPr="001A40D6">
        <w:rPr>
          <w:rFonts w:ascii="Century Gothic" w:hAnsi="Century Gothic"/>
          <w:b w:val="0"/>
          <w:bCs w:val="0"/>
          <w:sz w:val="22"/>
          <w:szCs w:val="22"/>
        </w:rPr>
        <w:t>END OF SECTION</w:t>
      </w:r>
    </w:p>
    <w:sectPr w:rsidR="00E23D88" w:rsidRPr="001A40D6" w:rsidSect="001A40D6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73FE" w14:textId="77777777" w:rsidR="00A3394F" w:rsidRDefault="000A2A1D">
      <w:r>
        <w:separator/>
      </w:r>
    </w:p>
  </w:endnote>
  <w:endnote w:type="continuationSeparator" w:id="0">
    <w:p w14:paraId="4166F6E5" w14:textId="77777777" w:rsidR="00A3394F" w:rsidRDefault="000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2044" w14:textId="77777777" w:rsidR="001A40D6" w:rsidRPr="001A40D6" w:rsidRDefault="001A40D6" w:rsidP="001A40D6">
    <w:pPr>
      <w:widowControl/>
      <w:tabs>
        <w:tab w:val="center" w:pos="4680"/>
        <w:tab w:val="right" w:pos="9360"/>
      </w:tabs>
      <w:autoSpaceDE/>
      <w:autoSpaceDN/>
      <w:rPr>
        <w:rFonts w:ascii="Century Gothic" w:eastAsia="Calibri" w:hAnsi="Century Gothic" w:cs="Times New Roman"/>
        <w:sz w:val="20"/>
        <w:szCs w:val="20"/>
        <w:lang w:bidi="ar-SA"/>
      </w:rPr>
    </w:pPr>
    <w:bookmarkStart w:id="40" w:name="_Hlk95837551"/>
    <w:bookmarkStart w:id="41" w:name="_Hlk95837502"/>
    <w:r w:rsidRPr="001A40D6">
      <w:rPr>
        <w:rFonts w:ascii="Century Gothic" w:eastAsia="Calibri" w:hAnsi="Century Gothic" w:cs="Times New Roman"/>
        <w:sz w:val="20"/>
        <w:szCs w:val="20"/>
        <w:lang w:bidi="ar-SA"/>
      </w:rPr>
      <w:t>Revised:  01/07/22</w:t>
    </w:r>
    <w:r w:rsidRPr="001A40D6">
      <w:rPr>
        <w:rFonts w:ascii="Century Gothic" w:eastAsia="Calibri" w:hAnsi="Century Gothic" w:cs="Times New Roman"/>
        <w:sz w:val="20"/>
        <w:szCs w:val="20"/>
        <w:lang w:bidi="ar-SA"/>
      </w:rPr>
      <w:tab/>
    </w:r>
    <w:r w:rsidRPr="001A40D6">
      <w:rPr>
        <w:rFonts w:ascii="Century Gothic" w:eastAsia="Calibri" w:hAnsi="Century Gothic" w:cs="Times New Roman"/>
        <w:sz w:val="20"/>
        <w:szCs w:val="20"/>
        <w:lang w:bidi="ar-SA"/>
      </w:rPr>
      <w:tab/>
      <w:t xml:space="preserve">Page </w:t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begin"/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instrText xml:space="preserve"> PAGE </w:instrText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separate"/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t>1</w:t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end"/>
    </w:r>
    <w:r w:rsidRPr="001A40D6">
      <w:rPr>
        <w:rFonts w:ascii="Century Gothic" w:eastAsia="Calibri" w:hAnsi="Century Gothic" w:cs="Times New Roman"/>
        <w:sz w:val="20"/>
        <w:szCs w:val="20"/>
        <w:lang w:bidi="ar-SA"/>
      </w:rPr>
      <w:t xml:space="preserve"> of </w:t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begin"/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instrText xml:space="preserve"> NUMPAGES  </w:instrText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separate"/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t>7</w:t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fldChar w:fldCharType="end"/>
    </w:r>
  </w:p>
  <w:p w14:paraId="1126A2FA" w14:textId="0618E748" w:rsidR="001A40D6" w:rsidRPr="001A40D6" w:rsidRDefault="001A40D6" w:rsidP="001A40D6">
    <w:pPr>
      <w:widowControl/>
      <w:tabs>
        <w:tab w:val="center" w:pos="4680"/>
        <w:tab w:val="right" w:pos="9360"/>
      </w:tabs>
      <w:autoSpaceDE/>
      <w:autoSpaceDN/>
      <w:rPr>
        <w:rFonts w:ascii="Century Gothic" w:eastAsia="Calibri" w:hAnsi="Century Gothic" w:cs="Times New Roman"/>
        <w:bCs/>
        <w:sz w:val="20"/>
        <w:szCs w:val="20"/>
        <w:lang w:bidi="ar-SA"/>
      </w:rPr>
    </w:pP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tab/>
    </w:r>
    <w:r w:rsidRPr="001A40D6">
      <w:rPr>
        <w:rFonts w:ascii="Century Gothic" w:eastAsia="Calibri" w:hAnsi="Century Gothic" w:cs="Times New Roman"/>
        <w:bCs/>
        <w:sz w:val="20"/>
        <w:szCs w:val="20"/>
        <w:lang w:bidi="ar-SA"/>
      </w:rPr>
      <w:tab/>
    </w:r>
    <w:r>
      <w:rPr>
        <w:rFonts w:ascii="Century Gothic" w:eastAsia="Calibri" w:hAnsi="Century Gothic" w:cs="Times New Roman"/>
        <w:bCs/>
        <w:sz w:val="20"/>
        <w:szCs w:val="20"/>
        <w:lang w:bidi="ar-SA"/>
      </w:rPr>
      <w:t>Disconnect Switches</w:t>
    </w:r>
  </w:p>
  <w:p w14:paraId="1247153C" w14:textId="6DB60B3A" w:rsidR="001A40D6" w:rsidRPr="001A40D6" w:rsidRDefault="001A40D6" w:rsidP="001A40D6">
    <w:pPr>
      <w:widowControl/>
      <w:tabs>
        <w:tab w:val="center" w:pos="4680"/>
        <w:tab w:val="right" w:pos="9360"/>
      </w:tabs>
      <w:autoSpaceDE/>
      <w:autoSpaceDN/>
      <w:rPr>
        <w:rFonts w:ascii="Century Gothic" w:eastAsia="Calibri" w:hAnsi="Century Gothic" w:cs="Times New Roman"/>
        <w:sz w:val="20"/>
        <w:szCs w:val="20"/>
        <w:lang w:bidi="ar-SA"/>
      </w:rPr>
    </w:pPr>
    <w:r w:rsidRPr="001A40D6">
      <w:rPr>
        <w:rFonts w:ascii="Century Gothic" w:eastAsia="Calibri" w:hAnsi="Century Gothic" w:cs="Times New Roman"/>
        <w:sz w:val="20"/>
        <w:szCs w:val="20"/>
        <w:lang w:bidi="ar-SA"/>
      </w:rPr>
      <w:tab/>
    </w:r>
    <w:r w:rsidRPr="001A40D6">
      <w:rPr>
        <w:rFonts w:ascii="Century Gothic" w:eastAsia="Calibri" w:hAnsi="Century Gothic" w:cs="Times New Roman"/>
        <w:sz w:val="20"/>
        <w:szCs w:val="20"/>
        <w:lang w:bidi="ar-SA"/>
      </w:rPr>
      <w:tab/>
      <w:t xml:space="preserve">Section </w:t>
    </w:r>
    <w:bookmarkEnd w:id="40"/>
    <w:bookmarkEnd w:id="41"/>
    <w:r w:rsidRPr="001A40D6">
      <w:rPr>
        <w:rFonts w:ascii="Century Gothic" w:eastAsia="Calibri" w:hAnsi="Century Gothic" w:cs="Times New Roman"/>
        <w:sz w:val="20"/>
        <w:szCs w:val="20"/>
        <w:lang w:bidi="ar-SA"/>
      </w:rPr>
      <w:t xml:space="preserve">26 </w:t>
    </w:r>
    <w:r>
      <w:rPr>
        <w:rFonts w:ascii="Century Gothic" w:eastAsia="Calibri" w:hAnsi="Century Gothic" w:cs="Times New Roman"/>
        <w:sz w:val="20"/>
        <w:szCs w:val="20"/>
        <w:lang w:bidi="ar-SA"/>
      </w:rPr>
      <w:t>28 17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B17E" w14:textId="77777777" w:rsidR="00A3394F" w:rsidRDefault="000A2A1D">
      <w:r>
        <w:separator/>
      </w:r>
    </w:p>
  </w:footnote>
  <w:footnote w:type="continuationSeparator" w:id="0">
    <w:p w14:paraId="2B463EB2" w14:textId="77777777" w:rsidR="00A3394F" w:rsidRDefault="000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E468" w14:textId="77777777" w:rsidR="001A40D6" w:rsidRPr="001A40D6" w:rsidRDefault="001A40D6" w:rsidP="001A40D6">
    <w:pPr>
      <w:widowControl/>
      <w:tabs>
        <w:tab w:val="center" w:pos="4680"/>
        <w:tab w:val="right" w:pos="9360"/>
      </w:tabs>
      <w:autoSpaceDE/>
      <w:autoSpaceDN/>
      <w:jc w:val="right"/>
      <w:rPr>
        <w:rFonts w:ascii="Century Gothic" w:eastAsia="Calibri" w:hAnsi="Century Gothic" w:cs="Times New Roman"/>
        <w:bCs/>
        <w:lang w:bidi="ar-SA"/>
      </w:rPr>
    </w:pPr>
    <w:bookmarkStart w:id="0" w:name="_Hlk95837613"/>
    <w:bookmarkStart w:id="1" w:name="_Hlk95837614"/>
    <w:bookmarkStart w:id="2" w:name="_Hlk95837617"/>
    <w:bookmarkStart w:id="3" w:name="_Hlk95837618"/>
    <w:bookmarkStart w:id="4" w:name="_Hlk95837619"/>
    <w:bookmarkStart w:id="5" w:name="_Hlk95837620"/>
    <w:bookmarkStart w:id="6" w:name="_Hlk95837621"/>
    <w:bookmarkStart w:id="7" w:name="_Hlk95837622"/>
    <w:bookmarkStart w:id="8" w:name="_Hlk95837623"/>
    <w:bookmarkStart w:id="9" w:name="_Hlk95837624"/>
    <w:bookmarkStart w:id="10" w:name="_Hlk95837625"/>
    <w:bookmarkStart w:id="11" w:name="_Hlk95837626"/>
    <w:bookmarkStart w:id="12" w:name="_Hlk95837627"/>
    <w:bookmarkStart w:id="13" w:name="_Hlk95837628"/>
    <w:bookmarkStart w:id="14" w:name="_Hlk95837629"/>
    <w:bookmarkStart w:id="15" w:name="_Hlk95837630"/>
    <w:bookmarkStart w:id="16" w:name="_Hlk95837631"/>
    <w:bookmarkStart w:id="17" w:name="_Hlk95837632"/>
    <w:bookmarkStart w:id="18" w:name="_Hlk98852951"/>
    <w:bookmarkStart w:id="19" w:name="_Hlk98852952"/>
    <w:bookmarkStart w:id="20" w:name="_Hlk98853407"/>
    <w:bookmarkStart w:id="21" w:name="_Hlk98853408"/>
    <w:bookmarkStart w:id="22" w:name="_Hlk98855590"/>
    <w:bookmarkStart w:id="23" w:name="_Hlk98855591"/>
    <w:bookmarkStart w:id="24" w:name="_Hlk98855926"/>
    <w:bookmarkStart w:id="25" w:name="_Hlk98855927"/>
    <w:bookmarkStart w:id="26" w:name="_Hlk98856496"/>
    <w:bookmarkStart w:id="27" w:name="_Hlk98856497"/>
    <w:bookmarkStart w:id="28" w:name="_Hlk98857158"/>
    <w:bookmarkStart w:id="29" w:name="_Hlk98857159"/>
    <w:bookmarkStart w:id="30" w:name="_Hlk98857388"/>
    <w:bookmarkStart w:id="31" w:name="_Hlk98857389"/>
    <w:bookmarkStart w:id="32" w:name="_Hlk98858233"/>
    <w:bookmarkStart w:id="33" w:name="_Hlk98858234"/>
    <w:bookmarkStart w:id="34" w:name="_Hlk98859432"/>
    <w:bookmarkStart w:id="35" w:name="_Hlk98859433"/>
    <w:bookmarkStart w:id="36" w:name="_Hlk98859758"/>
    <w:bookmarkStart w:id="37" w:name="_Hlk98859759"/>
    <w:bookmarkStart w:id="38" w:name="_Hlk98860089"/>
    <w:bookmarkStart w:id="39" w:name="_Hlk98860090"/>
    <w:r w:rsidRPr="001A40D6">
      <w:rPr>
        <w:rFonts w:ascii="Century Gothic" w:eastAsia="Calibri" w:hAnsi="Century Gothic" w:cs="Times New Roman"/>
        <w:bCs/>
        <w:lang w:bidi="ar-SA"/>
      </w:rPr>
      <w:t>Fontana Unified School District</w:t>
    </w:r>
  </w:p>
  <w:p w14:paraId="39A45155" w14:textId="029E79F7" w:rsidR="001A40D6" w:rsidRPr="001A40D6" w:rsidRDefault="001A40D6" w:rsidP="001A40D6">
    <w:pPr>
      <w:widowControl/>
      <w:tabs>
        <w:tab w:val="center" w:pos="4680"/>
        <w:tab w:val="right" w:pos="9360"/>
      </w:tabs>
      <w:autoSpaceDE/>
      <w:autoSpaceDN/>
      <w:jc w:val="right"/>
      <w:rPr>
        <w:rFonts w:ascii="Century Gothic" w:eastAsia="Calibri" w:hAnsi="Century Gothic" w:cs="Times New Roman"/>
        <w:bCs/>
        <w:lang w:bidi="ar-SA"/>
      </w:rPr>
    </w:pPr>
    <w:r>
      <w:rPr>
        <w:rFonts w:ascii="Century Gothic" w:eastAsia="Calibri" w:hAnsi="Century Gothic" w:cs="Times New Roman"/>
        <w:bCs/>
        <w:lang w:bidi="ar-SA"/>
      </w:rPr>
      <w:t>DISCONNECT SWITCHES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6FD104C4" w14:textId="563C5914" w:rsidR="001A40D6" w:rsidRPr="001A40D6" w:rsidRDefault="001A40D6" w:rsidP="001A40D6">
    <w:pPr>
      <w:widowControl/>
      <w:tabs>
        <w:tab w:val="center" w:pos="4680"/>
        <w:tab w:val="right" w:pos="9360"/>
      </w:tabs>
      <w:autoSpaceDE/>
      <w:autoSpaceDN/>
      <w:jc w:val="right"/>
      <w:rPr>
        <w:rFonts w:ascii="Century Gothic" w:eastAsia="Calibri" w:hAnsi="Century Gothic" w:cs="Times New Roman"/>
        <w:bCs/>
        <w:lang w:bidi="ar-SA"/>
      </w:rPr>
    </w:pPr>
    <w:r w:rsidRPr="001A40D6">
      <w:rPr>
        <w:rFonts w:ascii="Century Gothic" w:eastAsia="Calibri" w:hAnsi="Century Gothic" w:cs="Times New Roman"/>
        <w:bCs/>
        <w:lang w:bidi="ar-SA"/>
      </w:rPr>
      <w:t xml:space="preserve">26 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r>
      <w:rPr>
        <w:rFonts w:ascii="Century Gothic" w:eastAsia="Calibri" w:hAnsi="Century Gothic" w:cs="Times New Roman"/>
        <w:bCs/>
        <w:lang w:bidi="ar-SA"/>
      </w:rPr>
      <w:t>28 17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3DD"/>
    <w:multiLevelType w:val="multilevel"/>
    <w:tmpl w:val="D2EA0D56"/>
    <w:lvl w:ilvl="0">
      <w:start w:val="2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CBF78A8"/>
    <w:multiLevelType w:val="multilevel"/>
    <w:tmpl w:val="B60A4DA0"/>
    <w:lvl w:ilvl="0">
      <w:start w:val="1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0816DBE"/>
    <w:multiLevelType w:val="multilevel"/>
    <w:tmpl w:val="14401DEA"/>
    <w:lvl w:ilvl="0">
      <w:start w:val="3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D88"/>
    <w:rsid w:val="000A2A1D"/>
    <w:rsid w:val="0019350B"/>
    <w:rsid w:val="001A40D6"/>
    <w:rsid w:val="00492B4C"/>
    <w:rsid w:val="004B048E"/>
    <w:rsid w:val="00690360"/>
    <w:rsid w:val="00724FA8"/>
    <w:rsid w:val="00882D26"/>
    <w:rsid w:val="00A3394F"/>
    <w:rsid w:val="00BC3266"/>
    <w:rsid w:val="00D206FC"/>
    <w:rsid w:val="00E2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8691E"/>
  <w15:docId w15:val="{8CBF6964-50CE-4BB1-88AE-C5E61E3C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186" w:hanging="10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2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1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A2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A1D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DISCONNECT SWITCHES</dc:title>
  <dc:creator>KW</dc:creator>
  <cp:lastModifiedBy>Yesenia Castaneda</cp:lastModifiedBy>
  <cp:revision>15</cp:revision>
  <cp:lastPrinted>2022-03-23T00:10:00Z</cp:lastPrinted>
  <dcterms:created xsi:type="dcterms:W3CDTF">2022-03-15T09:31:00Z</dcterms:created>
  <dcterms:modified xsi:type="dcterms:W3CDTF">2022-03-23T00:10:00Z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2022-02-15T00:00:00Z</vt:filetime>
  </property>
</Properties>
</file>