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1D364" w14:textId="77777777" w:rsidR="00D3521D" w:rsidRPr="003A027B" w:rsidRDefault="00D3521D" w:rsidP="00115B3C">
      <w:pPr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</w:pPr>
      <w:bookmarkStart w:id="0" w:name="_GoBack"/>
      <w:bookmarkEnd w:id="0"/>
      <w:r w:rsidRPr="003A027B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>Before you begin: You must:</w:t>
      </w:r>
    </w:p>
    <w:p w14:paraId="0D379765" w14:textId="77777777" w:rsidR="00D3521D" w:rsidRPr="003A027B" w:rsidRDefault="00D3521D" w:rsidP="00115B3C">
      <w:p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</w:p>
    <w:p w14:paraId="28B7BF08" w14:textId="1D67DE4D" w:rsidR="00D3521D" w:rsidRPr="003A027B" w:rsidRDefault="00D3521D" w:rsidP="00D3521D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Perform a </w:t>
      </w:r>
      <w:hyperlink r:id="rId7" w:history="1">
        <w:r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system check</w:t>
        </w:r>
      </w:hyperlink>
      <w:r w:rsidRPr="003A027B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– this application checks if your device meets all requirements to run PARCC’s testing platform (TestNav)</w:t>
      </w:r>
    </w:p>
    <w:p w14:paraId="2C28585F" w14:textId="77777777" w:rsidR="00D3521D" w:rsidRPr="003A027B" w:rsidRDefault="00D3521D" w:rsidP="00115B3C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>Upgrade your devices to meet test specifications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– use your system check results to see what needs to be upgraded. </w:t>
      </w:r>
    </w:p>
    <w:p w14:paraId="22D2EC69" w14:textId="7B864957" w:rsidR="00D3521D" w:rsidRPr="003A027B" w:rsidRDefault="00D3521D" w:rsidP="00115B3C">
      <w:pPr>
        <w:pStyle w:val="ListParagraph"/>
        <w:numPr>
          <w:ilvl w:val="0"/>
          <w:numId w:val="2"/>
        </w:num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Read PARCC’s technology specification </w:t>
      </w:r>
      <w:hyperlink r:id="rId8" w:history="1">
        <w:r w:rsidRPr="00B82691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manual</w:t>
        </w:r>
      </w:hyperlink>
      <w:r w:rsidRPr="003A027B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– to see what devices</w:t>
      </w:r>
      <w:r w:rsidR="00B6162C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>/browsers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are compatible with TestNav</w:t>
      </w:r>
      <w:r w:rsidR="003B52EC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(note</w:t>
      </w:r>
      <w:r w:rsidR="00B6162C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there is no specific web browser requirements for Chromebooks that have received the TestNav</w:t>
      </w:r>
      <w:r w:rsidR="003B52EC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 </w:t>
      </w:r>
      <w:r w:rsidR="002947E1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>A</w:t>
      </w:r>
      <w:r w:rsidR="00B6162C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>pp or for PCs/Macs that have TestNav Desktop App installed)</w:t>
      </w:r>
    </w:p>
    <w:p w14:paraId="10C43EF4" w14:textId="77777777" w:rsidR="00D3521D" w:rsidRPr="003A027B" w:rsidRDefault="00D3521D" w:rsidP="00D3521D">
      <w:p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</w:p>
    <w:p w14:paraId="53AFE311" w14:textId="34F7B1E4" w:rsidR="00D3521D" w:rsidRDefault="00D3521D" w:rsidP="00D3521D">
      <w:pPr>
        <w:rPr>
          <w:rFonts w:ascii="Century Gothic" w:eastAsia="Times New Roman" w:hAnsi="Century Gothic" w:cs="Arial"/>
          <w:color w:val="548DD4" w:themeColor="text2" w:themeTint="99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 xml:space="preserve">PARCC Infrastructure Trial </w:t>
      </w:r>
      <w:r w:rsidR="00240917" w:rsidRPr="003A027B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>5-Minute</w:t>
      </w:r>
      <w:r w:rsidRPr="003A027B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 xml:space="preserve"> Guide</w:t>
      </w:r>
      <w:r w:rsidR="005D2812" w:rsidRPr="003A027B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 xml:space="preserve"> </w:t>
      </w:r>
      <w:r w:rsidR="005D2812" w:rsidRPr="003A027B">
        <w:rPr>
          <w:rFonts w:ascii="Century Gothic" w:eastAsia="Times New Roman" w:hAnsi="Century Gothic" w:cs="Arial"/>
          <w:color w:val="548DD4" w:themeColor="text2" w:themeTint="99"/>
          <w:sz w:val="18"/>
          <w:szCs w:val="18"/>
          <w:shd w:val="clear" w:color="auto" w:fill="FFFFFF"/>
        </w:rPr>
        <w:t>(steps 3-10 can be used on the actual test day)</w:t>
      </w:r>
    </w:p>
    <w:p w14:paraId="14761528" w14:textId="5931F936" w:rsidR="00705146" w:rsidRDefault="00493C8B" w:rsidP="00705146">
      <w:pPr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</w:pPr>
      <w:r w:rsidRPr="00493C8B">
        <w:rPr>
          <w:rFonts w:ascii="Century Gothic" w:eastAsia="Times New Roman" w:hAnsi="Century Gothic" w:cs="Arial"/>
          <w:color w:val="548DD4" w:themeColor="text2" w:themeTint="99"/>
          <w:sz w:val="16"/>
          <w:szCs w:val="18"/>
          <w:shd w:val="clear" w:color="auto" w:fill="FFFFFF"/>
        </w:rPr>
        <w:t xml:space="preserve">For more details, </w:t>
      </w:r>
      <w:r w:rsidRPr="00705146">
        <w:rPr>
          <w:rFonts w:ascii="Century Gothic" w:eastAsia="Times New Roman" w:hAnsi="Century Gothic" w:cs="Arial"/>
          <w:b/>
          <w:color w:val="548DD4" w:themeColor="text2" w:themeTint="99"/>
          <w:sz w:val="18"/>
          <w:szCs w:val="18"/>
          <w:shd w:val="clear" w:color="auto" w:fill="FFFFFF"/>
        </w:rPr>
        <w:t xml:space="preserve">visit: </w:t>
      </w:r>
      <w:hyperlink r:id="rId9" w:anchor="10590" w:history="1">
        <w:r w:rsidR="00705146" w:rsidRPr="00EB50D6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http://avocet.pearson.com/PARCC/Home#10590</w:t>
        </w:r>
      </w:hyperlink>
    </w:p>
    <w:p w14:paraId="1DA6E782" w14:textId="77777777" w:rsidR="00D3521D" w:rsidRPr="003A027B" w:rsidRDefault="00D3521D" w:rsidP="00D3521D">
      <w:pPr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</w:pPr>
    </w:p>
    <w:p w14:paraId="77547D22" w14:textId="7F516B5F" w:rsidR="005D2812" w:rsidRDefault="005D2812" w:rsidP="00D3521D">
      <w:pPr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  <w:t>Setting up the test environment and sessions</w:t>
      </w:r>
    </w:p>
    <w:p w14:paraId="2C54604F" w14:textId="77777777" w:rsidR="0026581E" w:rsidRPr="003A027B" w:rsidRDefault="0026581E" w:rsidP="00D3521D">
      <w:pPr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</w:pPr>
    </w:p>
    <w:p w14:paraId="270C2205" w14:textId="64DD20CF" w:rsidR="00115B3C" w:rsidRPr="0026581E" w:rsidRDefault="00D3521D" w:rsidP="00115B3C">
      <w:pPr>
        <w:pStyle w:val="ListParagraph"/>
        <w:numPr>
          <w:ilvl w:val="0"/>
          <w:numId w:val="1"/>
        </w:numPr>
        <w:rPr>
          <w:rStyle w:val="Hyperlink"/>
          <w:rFonts w:ascii="Century Gothic" w:eastAsia="Times New Roman" w:hAnsi="Century Gothic" w:cs="Times New Roman"/>
          <w:b/>
          <w:color w:val="auto"/>
          <w:sz w:val="18"/>
          <w:szCs w:val="18"/>
          <w:u w:val="none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Log onto </w:t>
      </w:r>
      <w:hyperlink r:id="rId10" w:history="1">
        <w:r w:rsidR="00115B3C"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PARCC</w:t>
        </w:r>
        <w:r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’s</w:t>
        </w:r>
        <w:r w:rsidR="009F3349"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 xml:space="preserve"> t</w:t>
        </w:r>
        <w:r w:rsidR="00115B3C"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 xml:space="preserve">raining </w:t>
        </w:r>
        <w:r w:rsidR="009F3349"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s</w:t>
        </w:r>
        <w:r w:rsidRPr="003A027B">
          <w:rPr>
            <w:rStyle w:val="Hyperlink"/>
            <w:rFonts w:ascii="Century Gothic" w:eastAsia="Times New Roman" w:hAnsi="Century Gothic" w:cs="Arial"/>
            <w:b/>
            <w:sz w:val="18"/>
            <w:szCs w:val="18"/>
            <w:shd w:val="clear" w:color="auto" w:fill="FFFFFF"/>
          </w:rPr>
          <w:t>ite</w:t>
        </w:r>
      </w:hyperlink>
    </w:p>
    <w:p w14:paraId="70BD4BD0" w14:textId="7632F55C" w:rsidR="009F3349" w:rsidRPr="003A027B" w:rsidRDefault="00115B3C" w:rsidP="00115B3C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Create sample students within </w:t>
      </w:r>
      <w:r w:rsidR="005D2812"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the </w:t>
      </w:r>
      <w:r w:rsidR="00DF5A08"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>Setup Tab (students -&gt; select tasks -&gt; generate sample students -&gt; start)</w:t>
      </w:r>
    </w:p>
    <w:p w14:paraId="1781F1B6" w14:textId="1740250F" w:rsidR="00115B3C" w:rsidRPr="0026581E" w:rsidRDefault="009F3349" w:rsidP="009F3349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 xml:space="preserve">These sample students will have fake login credentials for you to enter the test site for practice. In the “real” test site, students will not need to be </w:t>
      </w:r>
      <w:r w:rsidR="00C4016A">
        <w:rPr>
          <w:rFonts w:ascii="Century Gothic" w:eastAsia="Times New Roman" w:hAnsi="Century Gothic" w:cs="Arial"/>
          <w:color w:val="222222"/>
          <w:sz w:val="18"/>
          <w:szCs w:val="18"/>
          <w:shd w:val="clear" w:color="auto" w:fill="FFFFFF"/>
        </w:rPr>
        <w:t>generated</w:t>
      </w:r>
    </w:p>
    <w:p w14:paraId="4155D381" w14:textId="77EC8369" w:rsidR="009F3349" w:rsidRPr="003A027B" w:rsidRDefault="00115B3C" w:rsidP="00115B3C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  <w:shd w:val="clear" w:color="auto" w:fill="FFFFFF"/>
        </w:rPr>
        <w:t xml:space="preserve">Create 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sessions </w:t>
      </w:r>
      <w:r w:rsidR="00DF5A08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within the Testing tab (sessions -&gt; select tasks -&gt; create/edit sessions -&gt; start)</w:t>
      </w:r>
    </w:p>
    <w:p w14:paraId="5F5EACDC" w14:textId="63204F2D" w:rsidR="005B7DDA" w:rsidRPr="003A027B" w:rsidRDefault="005B7DDA" w:rsidP="005B7DDA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Fill in the fields and click “create”</w:t>
      </w:r>
    </w:p>
    <w:p w14:paraId="4057E4C4" w14:textId="3D97E141" w:rsidR="009F3349" w:rsidRPr="003A027B" w:rsidRDefault="009F3349" w:rsidP="009F3349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Note on Class vs. Session Fields: The “class” field is optional and denotes where students are grouped </w:t>
      </w:r>
      <w:r w:rsidR="002F7FDB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in your school – it could be a real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class or homeroom </w:t>
      </w:r>
      <w:r w:rsidR="002F7FDB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that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they’re in today</w:t>
      </w:r>
      <w:r w:rsidR="002F7FDB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.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</w:t>
      </w:r>
      <w:r w:rsidR="002F7FDB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The “s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ession</w:t>
      </w:r>
      <w:r w:rsidR="002F7FDB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” field is mandatory and it is the grouping of students that will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test together (may not contain all the same students in the class)</w:t>
      </w:r>
    </w:p>
    <w:p w14:paraId="0697C106" w14:textId="513D6146" w:rsidR="002F7FDB" w:rsidRPr="003A027B" w:rsidRDefault="002F7FDB" w:rsidP="002F7FD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Session tip 1: Use a qualifier/label in the Session Name to quickly identify what each session is meant for (e.g. 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ELA GR</w:t>
      </w:r>
      <w:r w:rsidR="00705146">
        <w:rPr>
          <w:rFonts w:ascii="Century Gothic" w:eastAsia="Times New Roman" w:hAnsi="Century Gothic" w:cs="Arial"/>
          <w:b/>
          <w:color w:val="222222"/>
          <w:sz w:val="18"/>
          <w:szCs w:val="18"/>
        </w:rPr>
        <w:t>4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– ELL Extended Time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) </w:t>
      </w:r>
    </w:p>
    <w:p w14:paraId="63D54410" w14:textId="49A90280" w:rsidR="002F7FDB" w:rsidRPr="003A027B" w:rsidRDefault="002F7FDB" w:rsidP="002F7FD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Session tip 2:</w:t>
      </w:r>
      <w:r w:rsidR="00951E62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Use an extract of your student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s Personal Needs Profiles to group students that will need special accommodations (e.g. extended time or separate setting)</w:t>
      </w:r>
    </w:p>
    <w:p w14:paraId="1BFBB366" w14:textId="02C0A3AB" w:rsidR="005D2812" w:rsidRPr="003A027B" w:rsidRDefault="005D2812" w:rsidP="002F7FD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Session tip 3: Use </w:t>
      </w:r>
      <w:r w:rsidR="001D7541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the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class field on a student’s profile to batch add students to a session</w:t>
      </w:r>
    </w:p>
    <w:p w14:paraId="1AF122A0" w14:textId="5EEDD46B" w:rsidR="00115B3C" w:rsidRPr="003A027B" w:rsidRDefault="002F7FDB" w:rsidP="00115B3C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Note on Caching S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erver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–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When creating each session, there will be a field to select a “caching server”</w:t>
      </w:r>
      <w:r w:rsidR="00B26AF7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.</w:t>
      </w:r>
      <w:r w:rsidR="001D7541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The caching server is where OI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IT has downloaded your tests </w:t>
      </w:r>
      <w:r w:rsidR="00B26AF7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on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to your local server to ensure that testing is continuous – even during an outage (it also reduces bandwidth needs). E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ach school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will have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caching server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to select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. </w:t>
      </w:r>
      <w:r w:rsidR="001D7541">
        <w:rPr>
          <w:rFonts w:ascii="Century Gothic" w:eastAsia="Times New Roman" w:hAnsi="Century Gothic" w:cs="Arial"/>
          <w:color w:val="222222"/>
          <w:sz w:val="18"/>
          <w:szCs w:val="18"/>
        </w:rPr>
        <w:t>Note that t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he training site </w:t>
      </w:r>
      <w:r w:rsidR="00115B3C" w:rsidRPr="003A027B">
        <w:rPr>
          <w:rFonts w:ascii="Century Gothic" w:eastAsia="Times New Roman" w:hAnsi="Century Gothic" w:cs="Arial"/>
          <w:b/>
          <w:color w:val="222222"/>
          <w:sz w:val="18"/>
          <w:szCs w:val="18"/>
          <w:u w:val="single"/>
        </w:rPr>
        <w:t>will not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have a caching server</w:t>
      </w:r>
    </w:p>
    <w:p w14:paraId="06F51FEB" w14:textId="68F39982" w:rsidR="00115B3C" w:rsidRPr="003A027B" w:rsidRDefault="00115B3C" w:rsidP="00115B3C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Assign students to sessions</w:t>
      </w:r>
      <w:r w:rsidR="005B7DDA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(within create/edit session</w:t>
      </w:r>
      <w:r w:rsid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screen</w:t>
      </w:r>
      <w:r w:rsidR="005B7DDA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)</w:t>
      </w:r>
    </w:p>
    <w:p w14:paraId="7537FA37" w14:textId="7989CC87" w:rsidR="005D2812" w:rsidRDefault="005B7DDA" w:rsidP="003F53A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Add students by name, </w:t>
      </w:r>
      <w:r w:rsidR="003770B1">
        <w:rPr>
          <w:rFonts w:ascii="Century Gothic" w:eastAsia="Times New Roman" w:hAnsi="Century Gothic" w:cs="Arial"/>
          <w:color w:val="222222"/>
          <w:sz w:val="18"/>
          <w:szCs w:val="18"/>
        </w:rPr>
        <w:t>SAS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ID, or class (for </w:t>
      </w:r>
      <w:r w:rsidR="005D2812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tips using “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class</w:t>
      </w:r>
      <w:r w:rsidR="005D2812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”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see </w:t>
      </w:r>
      <w:r w:rsidR="005D2812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-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3a</w:t>
      </w:r>
      <w:r w:rsidR="005D2812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and 3e)</w:t>
      </w:r>
    </w:p>
    <w:p w14:paraId="67994CD2" w14:textId="77777777" w:rsidR="0026581E" w:rsidRPr="0026581E" w:rsidRDefault="0026581E" w:rsidP="0026581E">
      <w:pPr>
        <w:shd w:val="clear" w:color="auto" w:fill="FFFFFF"/>
        <w:ind w:left="1080"/>
        <w:rPr>
          <w:rFonts w:ascii="Century Gothic" w:eastAsia="Times New Roman" w:hAnsi="Century Gothic" w:cs="Arial"/>
          <w:color w:val="222222"/>
          <w:sz w:val="18"/>
          <w:szCs w:val="18"/>
        </w:rPr>
      </w:pPr>
    </w:p>
    <w:p w14:paraId="7F86F43B" w14:textId="364512F4" w:rsidR="005D2812" w:rsidRDefault="005D2812" w:rsidP="005D2812">
      <w:pPr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</w:pPr>
      <w:r w:rsidRPr="003A027B"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  <w:t>The day before and day of the exam (</w:t>
      </w:r>
      <w:r w:rsidR="0003594B"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  <w:t xml:space="preserve">these steps can be done on the </w:t>
      </w:r>
      <w:r w:rsidRPr="003A027B"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  <w:t>same day of your trial)</w:t>
      </w:r>
    </w:p>
    <w:p w14:paraId="3BFF7052" w14:textId="77777777" w:rsidR="0026581E" w:rsidRPr="003A027B" w:rsidRDefault="0026581E" w:rsidP="005D2812">
      <w:pPr>
        <w:rPr>
          <w:rFonts w:ascii="Century Gothic" w:eastAsia="Times New Roman" w:hAnsi="Century Gothic" w:cs="Arial"/>
          <w:b/>
          <w:color w:val="E36C0A" w:themeColor="accent6" w:themeShade="BF"/>
          <w:sz w:val="18"/>
          <w:szCs w:val="18"/>
          <w:shd w:val="clear" w:color="auto" w:fill="FFFFFF"/>
        </w:rPr>
      </w:pPr>
    </w:p>
    <w:p w14:paraId="04D6296E" w14:textId="18C8AA05" w:rsidR="00115B3C" w:rsidRPr="003A027B" w:rsidRDefault="00985CDF" w:rsidP="00115B3C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Day before the exam: Print </w:t>
      </w:r>
      <w:r w:rsidR="00B26AF7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student tickets for next-day </w:t>
      </w:r>
      <w:r w:rsidR="00115B3C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distribution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within the Testing tab (students in session -&gt; select your session (right pane) -&gt;  download resources -&gt; student testing tickets)</w:t>
      </w:r>
    </w:p>
    <w:p w14:paraId="27001723" w14:textId="5C6E0B8B" w:rsidR="00115B3C" w:rsidRPr="003A027B" w:rsidRDefault="00B26AF7" w:rsidP="00115B3C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Tickets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provides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your 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students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with the URL to the test 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site, their login information, and the location of the exam (if you have indicated in the 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session 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>fields</w:t>
      </w: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)</w:t>
      </w:r>
      <w:r w:rsidR="00115B3C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</w:t>
      </w:r>
    </w:p>
    <w:p w14:paraId="343C576C" w14:textId="202E6FB2" w:rsidR="00115B3C" w:rsidRDefault="00115B3C" w:rsidP="006A1850">
      <w:pPr>
        <w:pStyle w:val="ListParagraph"/>
        <w:numPr>
          <w:ilvl w:val="0"/>
          <w:numId w:val="1"/>
        </w:numPr>
        <w:shd w:val="clear" w:color="auto" w:fill="FFFFFF"/>
        <w:tabs>
          <w:tab w:val="left" w:pos="1980"/>
        </w:tabs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Day of </w:t>
      </w:r>
      <w:r w:rsidR="00B26AF7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exam:</w:t>
      </w:r>
      <w:r w:rsidR="00985CD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</w:t>
      </w:r>
      <w:r w:rsidR="006A1850">
        <w:rPr>
          <w:rFonts w:ascii="Century Gothic" w:eastAsia="Times New Roman" w:hAnsi="Century Gothic" w:cs="Arial"/>
          <w:b/>
          <w:color w:val="222222"/>
          <w:sz w:val="18"/>
          <w:szCs w:val="18"/>
        </w:rPr>
        <w:tab/>
        <w:t xml:space="preserve">(1) </w:t>
      </w:r>
      <w:r w:rsidR="00985CD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S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tarting the session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within the Testing Tab </w:t>
      </w:r>
      <w:r w:rsid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(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students in session -&gt; select your session </w:t>
      </w:r>
      <w:r w:rsid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[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right pane</w:t>
      </w:r>
      <w:r w:rsid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]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-&gt;  start)</w:t>
      </w:r>
      <w:r w:rsidR="003E1862">
        <w:rPr>
          <w:rFonts w:ascii="Century Gothic" w:eastAsia="Times New Roman" w:hAnsi="Century Gothic" w:cs="Arial"/>
          <w:b/>
          <w:color w:val="222222"/>
          <w:sz w:val="18"/>
          <w:szCs w:val="18"/>
        </w:rPr>
        <w:t>, then</w:t>
      </w:r>
    </w:p>
    <w:p w14:paraId="5D7A9640" w14:textId="72AE133F" w:rsidR="006A1850" w:rsidRPr="006A1850" w:rsidRDefault="006A1850" w:rsidP="006A1850">
      <w:pPr>
        <w:shd w:val="clear" w:color="auto" w:fill="FFFFFF"/>
        <w:ind w:left="2160" w:hanging="180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>
        <w:rPr>
          <w:rFonts w:ascii="Century Gothic" w:eastAsia="Times New Roman" w:hAnsi="Century Gothic" w:cs="Arial"/>
          <w:b/>
          <w:color w:val="222222"/>
          <w:sz w:val="18"/>
          <w:szCs w:val="18"/>
        </w:rPr>
        <w:t>(2) Unlock the unit being tested (only one unit unlocked for each student at a time)</w:t>
      </w:r>
    </w:p>
    <w:p w14:paraId="4974BBD3" w14:textId="25551BEC" w:rsidR="00115B3C" w:rsidRPr="00F45EA1" w:rsidRDefault="00F45EA1" w:rsidP="00115B3C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  <w:u w:val="single"/>
        </w:rPr>
      </w:pPr>
      <w:r>
        <w:rPr>
          <w:rFonts w:ascii="Century Gothic" w:eastAsia="Times New Roman" w:hAnsi="Century Gothic" w:cs="Arial"/>
          <w:color w:val="222222"/>
          <w:sz w:val="18"/>
          <w:szCs w:val="18"/>
          <w:u w:val="single"/>
        </w:rPr>
        <w:t>*</w:t>
      </w:r>
      <w:r w:rsidR="00176F01" w:rsidRPr="00F45EA1">
        <w:rPr>
          <w:rFonts w:ascii="Century Gothic" w:eastAsia="Times New Roman" w:hAnsi="Century Gothic" w:cs="Arial"/>
          <w:color w:val="222222"/>
          <w:sz w:val="18"/>
          <w:szCs w:val="18"/>
          <w:u w:val="single"/>
        </w:rPr>
        <w:t>Students can now log-in to TestNav</w:t>
      </w:r>
      <w:r>
        <w:rPr>
          <w:rFonts w:ascii="Century Gothic" w:eastAsia="Times New Roman" w:hAnsi="Century Gothic" w:cs="Arial"/>
          <w:color w:val="222222"/>
          <w:sz w:val="18"/>
          <w:szCs w:val="18"/>
          <w:u w:val="single"/>
        </w:rPr>
        <w:t>*</w:t>
      </w:r>
    </w:p>
    <w:p w14:paraId="136C8A0F" w14:textId="168E3482" w:rsidR="00985CDF" w:rsidRPr="003A027B" w:rsidRDefault="00985CDF" w:rsidP="00985CDF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If possible, have a point person start each session (centrally), so test administrators/proctors can focus on reading instructions</w:t>
      </w:r>
    </w:p>
    <w:p w14:paraId="1E566F96" w14:textId="75F6FA2A" w:rsidR="00176F01" w:rsidRPr="003A027B" w:rsidRDefault="00176F01" w:rsidP="00176F01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Day of </w:t>
      </w:r>
      <w:r w:rsidR="00B26AF7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exam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: 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Restarting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a student’s session</w:t>
      </w:r>
      <w:r w:rsidR="000D58E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(for when instances when they exit their test)</w:t>
      </w:r>
    </w:p>
    <w:p w14:paraId="24CA80FF" w14:textId="04BAE1B4" w:rsidR="00115B3C" w:rsidRPr="003A027B" w:rsidRDefault="003A027B" w:rsidP="003A027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Within the session window, click tasks, check “Resume Student Tests” and click start)</w:t>
      </w:r>
    </w:p>
    <w:p w14:paraId="07C3870A" w14:textId="50FFBF51" w:rsidR="00176F01" w:rsidRPr="003A027B" w:rsidRDefault="00176F01" w:rsidP="00115B3C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eastAsia="Times New Roman" w:hAnsi="Century Gothic" w:cs="Arial"/>
          <w:b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Day of </w:t>
      </w:r>
      <w:r w:rsidR="00985CDF"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exam</w:t>
      </w:r>
      <w:r w:rsidRP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>: Mark students complete</w:t>
      </w:r>
      <w:r w:rsidR="003A027B">
        <w:rPr>
          <w:rFonts w:ascii="Century Gothic" w:eastAsia="Times New Roman" w:hAnsi="Century Gothic" w:cs="Arial"/>
          <w:b/>
          <w:color w:val="222222"/>
          <w:sz w:val="18"/>
          <w:szCs w:val="18"/>
        </w:rPr>
        <w:t xml:space="preserve"> (students that have successfully submitted their responses or have completed their session)</w:t>
      </w:r>
    </w:p>
    <w:p w14:paraId="23B065E2" w14:textId="79DBA69A" w:rsidR="003A027B" w:rsidRPr="003A027B" w:rsidRDefault="003A027B" w:rsidP="003A027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>Do not mark complete unless the student has completed all their units</w:t>
      </w:r>
    </w:p>
    <w:p w14:paraId="5AA4ED96" w14:textId="35E876B2" w:rsidR="00985CDF" w:rsidRPr="003A027B" w:rsidRDefault="00176F01" w:rsidP="00176F01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Complete = all units </w:t>
      </w:r>
      <w:r w:rsidR="003A027B">
        <w:rPr>
          <w:rFonts w:ascii="Century Gothic" w:eastAsia="Times New Roman" w:hAnsi="Century Gothic" w:cs="Arial"/>
          <w:color w:val="222222"/>
          <w:sz w:val="18"/>
          <w:szCs w:val="18"/>
        </w:rPr>
        <w:t>are done</w:t>
      </w:r>
      <w:r w:rsidR="0051773A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 (e.g., all 4 units in grade 4 Math)</w:t>
      </w:r>
    </w:p>
    <w:p w14:paraId="540BF0E3" w14:textId="2D7D2B07" w:rsidR="00493C8B" w:rsidRPr="00493C8B" w:rsidRDefault="00176F01" w:rsidP="00493C8B">
      <w:pPr>
        <w:pStyle w:val="ListParagraph"/>
        <w:numPr>
          <w:ilvl w:val="1"/>
          <w:numId w:val="1"/>
        </w:numPr>
        <w:shd w:val="clear" w:color="auto" w:fill="FFFFFF"/>
        <w:rPr>
          <w:rFonts w:ascii="Century Gothic" w:eastAsia="Times New Roman" w:hAnsi="Century Gothic" w:cs="Arial"/>
          <w:color w:val="222222"/>
          <w:sz w:val="18"/>
          <w:szCs w:val="18"/>
        </w:rPr>
      </w:pPr>
      <w:r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Sum of </w:t>
      </w:r>
      <w:r w:rsidR="000D58EF" w:rsidRPr="003A027B">
        <w:rPr>
          <w:rFonts w:ascii="Century Gothic" w:eastAsia="Times New Roman" w:hAnsi="Century Gothic" w:cs="Arial"/>
          <w:color w:val="222222"/>
          <w:sz w:val="18"/>
          <w:szCs w:val="18"/>
        </w:rPr>
        <w:t xml:space="preserve">units = 1 session (e.g. </w:t>
      </w:r>
      <w:r w:rsidR="006C679E">
        <w:rPr>
          <w:rFonts w:ascii="Century Gothic" w:eastAsia="Times New Roman" w:hAnsi="Century Gothic" w:cs="Arial"/>
          <w:color w:val="222222"/>
          <w:sz w:val="18"/>
          <w:szCs w:val="18"/>
        </w:rPr>
        <w:t>Gr</w:t>
      </w:r>
      <w:r w:rsidR="0051773A">
        <w:rPr>
          <w:rFonts w:ascii="Century Gothic" w:eastAsia="Times New Roman" w:hAnsi="Century Gothic" w:cs="Arial"/>
          <w:color w:val="222222"/>
          <w:sz w:val="18"/>
          <w:szCs w:val="18"/>
        </w:rPr>
        <w:t>ade 4 Math</w:t>
      </w:r>
      <w:r w:rsidR="003A027B">
        <w:rPr>
          <w:rFonts w:ascii="Century Gothic" w:eastAsia="Times New Roman" w:hAnsi="Century Gothic" w:cs="Arial"/>
          <w:color w:val="222222"/>
          <w:sz w:val="18"/>
          <w:szCs w:val="18"/>
        </w:rPr>
        <w:t>)</w:t>
      </w:r>
    </w:p>
    <w:sectPr w:rsidR="00493C8B" w:rsidRPr="00493C8B" w:rsidSect="005D281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C4D6" w14:textId="77777777" w:rsidR="00CC2A07" w:rsidRDefault="00CC2A07" w:rsidP="003A027B">
      <w:r>
        <w:separator/>
      </w:r>
    </w:p>
  </w:endnote>
  <w:endnote w:type="continuationSeparator" w:id="0">
    <w:p w14:paraId="2A6888E0" w14:textId="77777777" w:rsidR="00CC2A07" w:rsidRDefault="00CC2A07" w:rsidP="003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E06F" w14:textId="77777777" w:rsidR="00CC2A07" w:rsidRDefault="00CC2A07" w:rsidP="003A027B">
      <w:r>
        <w:separator/>
      </w:r>
    </w:p>
  </w:footnote>
  <w:footnote w:type="continuationSeparator" w:id="0">
    <w:p w14:paraId="3E7B91AC" w14:textId="77777777" w:rsidR="00CC2A07" w:rsidRDefault="00CC2A07" w:rsidP="003A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B8CB" w14:textId="6F2F0C67" w:rsidR="003A027B" w:rsidRDefault="003A027B">
    <w:pPr>
      <w:pStyle w:val="Header"/>
    </w:pPr>
    <w:r>
      <w:rPr>
        <w:noProof/>
      </w:rPr>
      <w:drawing>
        <wp:inline distT="0" distB="0" distL="0" distR="0" wp14:anchorId="0BABC897" wp14:editId="796BD074">
          <wp:extent cx="632460" cy="325650"/>
          <wp:effectExtent l="0" t="0" r="0" b="0"/>
          <wp:docPr id="2" name="Picture 2" descr="[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027B">
      <w:rPr>
        <w:rFonts w:ascii="Century Gothic" w:hAnsi="Century Gothic"/>
      </w:rPr>
      <w:ptab w:relativeTo="margin" w:alignment="center" w:leader="none"/>
    </w:r>
    <w:r w:rsidRPr="003A027B">
      <w:rPr>
        <w:rFonts w:ascii="Century Gothic" w:eastAsia="Times New Roman" w:hAnsi="Century Gothic" w:cs="Arial"/>
        <w:b/>
        <w:color w:val="548DD4" w:themeColor="text2" w:themeTint="99"/>
        <w:shd w:val="clear" w:color="auto" w:fill="FFFFFF"/>
      </w:rPr>
      <w:t>PARCC Infrastructure Trial 5-Minute Guide</w:t>
    </w:r>
    <w:r w:rsidRPr="003A027B">
      <w:rPr>
        <w:rFonts w:ascii="Century Gothic" w:hAnsi="Century Gothic"/>
      </w:rPr>
      <w:ptab w:relativeTo="margin" w:alignment="right" w:leader="none"/>
    </w:r>
    <w:r w:rsidR="00421046" w:rsidRPr="00421046">
      <w:rPr>
        <w:rFonts w:ascii="Century Gothic" w:hAnsi="Century Gothic"/>
        <w:sz w:val="20"/>
      </w:rPr>
      <w:t>April</w:t>
    </w:r>
    <w:r w:rsidRPr="003F53AB">
      <w:rPr>
        <w:rFonts w:ascii="Century Gothic" w:hAnsi="Century Gothic"/>
        <w:sz w:val="20"/>
      </w:rPr>
      <w:t xml:space="preserve"> 201</w:t>
    </w:r>
    <w:r w:rsidR="00421046">
      <w:rPr>
        <w:rFonts w:ascii="Century Gothic" w:hAnsi="Century Gothic"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053"/>
    <w:multiLevelType w:val="hybridMultilevel"/>
    <w:tmpl w:val="4E7E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0252"/>
    <w:multiLevelType w:val="hybridMultilevel"/>
    <w:tmpl w:val="4846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3C"/>
    <w:rsid w:val="0003594B"/>
    <w:rsid w:val="000D58EF"/>
    <w:rsid w:val="00115B3C"/>
    <w:rsid w:val="00176F01"/>
    <w:rsid w:val="001D7541"/>
    <w:rsid w:val="00240917"/>
    <w:rsid w:val="0026581E"/>
    <w:rsid w:val="002947E1"/>
    <w:rsid w:val="002A1B46"/>
    <w:rsid w:val="002F7FDB"/>
    <w:rsid w:val="003217B0"/>
    <w:rsid w:val="003770B1"/>
    <w:rsid w:val="003A027B"/>
    <w:rsid w:val="003B52EC"/>
    <w:rsid w:val="003E1862"/>
    <w:rsid w:val="003F53AB"/>
    <w:rsid w:val="00421046"/>
    <w:rsid w:val="004405BA"/>
    <w:rsid w:val="00493C8B"/>
    <w:rsid w:val="0051773A"/>
    <w:rsid w:val="005B7DDA"/>
    <w:rsid w:val="005D2812"/>
    <w:rsid w:val="006A1850"/>
    <w:rsid w:val="006C679E"/>
    <w:rsid w:val="00705146"/>
    <w:rsid w:val="00745629"/>
    <w:rsid w:val="00891ABA"/>
    <w:rsid w:val="008A21A8"/>
    <w:rsid w:val="00951E62"/>
    <w:rsid w:val="00985CDF"/>
    <w:rsid w:val="009F3349"/>
    <w:rsid w:val="00B26AF7"/>
    <w:rsid w:val="00B46ECF"/>
    <w:rsid w:val="00B6162C"/>
    <w:rsid w:val="00B82691"/>
    <w:rsid w:val="00C4016A"/>
    <w:rsid w:val="00C85617"/>
    <w:rsid w:val="00CC2A07"/>
    <w:rsid w:val="00D0085B"/>
    <w:rsid w:val="00D3521D"/>
    <w:rsid w:val="00DF5A08"/>
    <w:rsid w:val="00E303EE"/>
    <w:rsid w:val="00EE1B49"/>
    <w:rsid w:val="00F45EA1"/>
    <w:rsid w:val="00F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FC9C8"/>
  <w14:defaultImageDpi w14:val="300"/>
  <w15:docId w15:val="{ED0AA6D6-F152-4A94-992E-0E588A2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7B"/>
  </w:style>
  <w:style w:type="paragraph" w:styleId="Footer">
    <w:name w:val="footer"/>
    <w:basedOn w:val="Normal"/>
    <w:link w:val="FooterChar"/>
    <w:uiPriority w:val="99"/>
    <w:unhideWhenUsed/>
    <w:rsid w:val="003A0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7B"/>
  </w:style>
  <w:style w:type="paragraph" w:styleId="BalloonText">
    <w:name w:val="Balloon Text"/>
    <w:basedOn w:val="Normal"/>
    <w:link w:val="BalloonTextChar"/>
    <w:uiPriority w:val="99"/>
    <w:semiHidden/>
    <w:unhideWhenUsed/>
    <w:rsid w:val="003A0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bostonpublicschools.org/file/d/0Bwn5Gk-vXP98bmRfMHN5cXZ6STQ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ystemcheck.parcc.testna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rng.pearsonaccessnext.com/customer/index.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ocet.pearson.com/PARCC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Nguyen</dc:creator>
  <cp:lastModifiedBy>Nicole Wagner</cp:lastModifiedBy>
  <cp:revision>2</cp:revision>
  <cp:lastPrinted>2015-02-02T15:09:00Z</cp:lastPrinted>
  <dcterms:created xsi:type="dcterms:W3CDTF">2016-04-06T03:46:00Z</dcterms:created>
  <dcterms:modified xsi:type="dcterms:W3CDTF">2016-04-06T03:46:00Z</dcterms:modified>
</cp:coreProperties>
</file>