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jc w:val="center"/>
        <w:rPr>
          <w:b w:val="1"/>
          <w:bCs w:val="1"/>
          <w:sz w:val="28"/>
          <w:szCs w:val="28"/>
        </w:rPr>
      </w:pPr>
      <w:r>
        <w:rPr>
          <w:b w:val="1"/>
          <w:bCs w:val="1"/>
          <w:sz w:val="28"/>
          <w:szCs w:val="28"/>
          <w:rtl w:val="0"/>
          <w:lang w:val="en-US"/>
        </w:rPr>
        <w:t>Lawnside School</w:t>
      </w:r>
      <w:r>
        <w:rPr>
          <w:b w:val="1"/>
          <w:bCs w:val="1"/>
          <w:sz w:val="28"/>
          <w:szCs w:val="28"/>
          <w:rtl w:val="0"/>
          <w:lang w:val="en-US"/>
        </w:rPr>
        <w:t xml:space="preserve"> District Professional Development Plan </w:t>
      </w:r>
      <w:r>
        <w:rPr>
          <w:b w:val="1"/>
          <w:bCs w:val="1"/>
          <w:sz w:val="28"/>
          <w:szCs w:val="28"/>
          <w:rtl w:val="0"/>
          <w:lang w:val="en-US"/>
        </w:rPr>
        <w:t>2019-2020</w:t>
      </w:r>
    </w:p>
    <w:p>
      <w:pPr>
        <w:pStyle w:val="Normal.0"/>
        <w:spacing w:after="0" w:line="240" w:lineRule="auto"/>
        <w:jc w:val="center"/>
      </w:pPr>
    </w:p>
    <w:tbl>
      <w:tblPr>
        <w:tblW w:w="14202" w:type="dxa"/>
        <w:jc w:val="center"/>
        <w:tblInd w:w="41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642"/>
        <w:gridCol w:w="4500"/>
        <w:gridCol w:w="3060"/>
      </w:tblGrid>
      <w:tr>
        <w:tblPrEx>
          <w:shd w:val="clear" w:color="auto" w:fill="ced7e7"/>
        </w:tblPrEx>
        <w:trPr>
          <w:trHeight w:val="260" w:hRule="atLeast"/>
        </w:trPr>
        <w:tc>
          <w:tcPr>
            <w:tcW w:type="dxa" w:w="66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db3e2"/>
            <w:tcMar>
              <w:top w:type="dxa" w:w="80"/>
              <w:left w:type="dxa" w:w="80"/>
              <w:bottom w:type="dxa" w:w="80"/>
              <w:right w:type="dxa" w:w="80"/>
            </w:tcMar>
            <w:vAlign w:val="top"/>
          </w:tcPr>
          <w:p>
            <w:pPr>
              <w:pStyle w:val="Normal.0"/>
              <w:spacing w:after="0" w:line="240" w:lineRule="auto"/>
            </w:pPr>
            <w:r>
              <w:rPr>
                <w:b w:val="1"/>
                <w:bCs w:val="1"/>
                <w:rtl w:val="0"/>
                <w:lang w:val="en-US"/>
              </w:rPr>
              <w:t>District Name</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db3e2"/>
            <w:tcMar>
              <w:top w:type="dxa" w:w="80"/>
              <w:left w:type="dxa" w:w="80"/>
              <w:bottom w:type="dxa" w:w="80"/>
              <w:right w:type="dxa" w:w="80"/>
            </w:tcMar>
            <w:vAlign w:val="top"/>
          </w:tcPr>
          <w:p>
            <w:pPr>
              <w:pStyle w:val="Normal.0"/>
              <w:spacing w:after="0" w:line="240" w:lineRule="auto"/>
            </w:pPr>
            <w:r>
              <w:rPr>
                <w:b w:val="1"/>
                <w:bCs w:val="1"/>
                <w:rtl w:val="0"/>
                <w:lang w:val="en-US"/>
              </w:rPr>
              <w:t>Superintendent Name</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db3e2"/>
            <w:tcMar>
              <w:top w:type="dxa" w:w="80"/>
              <w:left w:type="dxa" w:w="80"/>
              <w:bottom w:type="dxa" w:w="80"/>
              <w:right w:type="dxa" w:w="80"/>
            </w:tcMar>
            <w:vAlign w:val="top"/>
          </w:tcPr>
          <w:p>
            <w:pPr>
              <w:pStyle w:val="Normal.0"/>
              <w:spacing w:after="0" w:line="240" w:lineRule="auto"/>
            </w:pPr>
            <w:r>
              <w:rPr>
                <w:b w:val="1"/>
                <w:bCs w:val="1"/>
                <w:rtl w:val="0"/>
                <w:lang w:val="en-US"/>
              </w:rPr>
              <w:t>Plan Begin/End Dates</w:t>
            </w:r>
          </w:p>
        </w:tc>
      </w:tr>
      <w:tr>
        <w:tblPrEx>
          <w:shd w:val="clear" w:color="auto" w:fill="ced7e7"/>
        </w:tblPrEx>
        <w:trPr>
          <w:trHeight w:val="260" w:hRule="atLeast"/>
        </w:trPr>
        <w:tc>
          <w:tcPr>
            <w:tcW w:type="dxa" w:w="66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spacing w:after="0" w:line="240" w:lineRule="auto"/>
              <w:jc w:val="center"/>
            </w:pPr>
            <w:r>
              <w:rPr>
                <w:rFonts w:ascii="Calibri" w:cs="Calibri" w:hAnsi="Calibri" w:eastAsia="Calibri"/>
                <w:b w:val="1"/>
                <w:bCs w:val="1"/>
                <w:sz w:val="22"/>
                <w:szCs w:val="22"/>
                <w:rtl w:val="0"/>
                <w:lang w:val="en-US"/>
              </w:rPr>
              <w:t>Lawnside School District</w:t>
            </w:r>
          </w:p>
        </w:tc>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spacing w:after="0" w:line="240" w:lineRule="auto"/>
              <w:jc w:val="center"/>
            </w:pPr>
            <w:r>
              <w:rPr>
                <w:rFonts w:ascii="Calibri" w:cs="Calibri" w:hAnsi="Calibri" w:eastAsia="Calibri"/>
                <w:b w:val="1"/>
                <w:bCs w:val="1"/>
                <w:sz w:val="22"/>
                <w:szCs w:val="22"/>
                <w:rtl w:val="0"/>
                <w:lang w:val="en-US"/>
              </w:rPr>
              <w:t>Dr. Ronn Johnson</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spacing w:after="0" w:line="240" w:lineRule="auto"/>
              <w:jc w:val="center"/>
            </w:pPr>
            <w:r>
              <w:rPr>
                <w:rFonts w:ascii="Calibri" w:cs="Calibri" w:hAnsi="Calibri" w:eastAsia="Calibri"/>
                <w:b w:val="1"/>
                <w:bCs w:val="1"/>
                <w:sz w:val="22"/>
                <w:szCs w:val="22"/>
                <w:rtl w:val="0"/>
                <w:lang w:val="en-US"/>
              </w:rPr>
              <w:t>July 201</w:t>
            </w:r>
            <w:r>
              <w:rPr>
                <w:rFonts w:ascii="Calibri" w:cs="Calibri" w:hAnsi="Calibri" w:eastAsia="Calibri"/>
                <w:b w:val="1"/>
                <w:bCs w:val="1"/>
                <w:sz w:val="22"/>
                <w:szCs w:val="22"/>
                <w:rtl w:val="0"/>
                <w:lang w:val="en-US"/>
              </w:rPr>
              <w:t>9</w:t>
            </w:r>
            <w:r>
              <w:rPr>
                <w:rFonts w:ascii="Calibri" w:cs="Calibri" w:hAnsi="Calibri" w:eastAsia="Calibri"/>
                <w:b w:val="1"/>
                <w:bCs w:val="1"/>
                <w:sz w:val="22"/>
                <w:szCs w:val="22"/>
                <w:rtl w:val="0"/>
                <w:lang w:val="en-US"/>
              </w:rPr>
              <w:t>-June 20</w:t>
            </w:r>
            <w:r>
              <w:rPr>
                <w:rFonts w:ascii="Calibri" w:cs="Calibri" w:hAnsi="Calibri" w:eastAsia="Calibri"/>
                <w:b w:val="1"/>
                <w:bCs w:val="1"/>
                <w:sz w:val="22"/>
                <w:szCs w:val="22"/>
                <w:rtl w:val="0"/>
                <w:lang w:val="en-US"/>
              </w:rPr>
              <w:t>20</w:t>
            </w:r>
          </w:p>
        </w:tc>
      </w:tr>
    </w:tbl>
    <w:p>
      <w:pPr>
        <w:pStyle w:val="Normal.0"/>
        <w:widowControl w:val="0"/>
        <w:spacing w:after="0" w:line="240" w:lineRule="auto"/>
        <w:ind w:left="306" w:hanging="306"/>
        <w:jc w:val="center"/>
      </w:pPr>
    </w:p>
    <w:p>
      <w:pPr>
        <w:pStyle w:val="Normal.0"/>
        <w:widowControl w:val="0"/>
        <w:spacing w:after="0" w:line="240" w:lineRule="auto"/>
        <w:ind w:left="198" w:hanging="198"/>
        <w:jc w:val="center"/>
      </w:pPr>
    </w:p>
    <w:p>
      <w:pPr>
        <w:pStyle w:val="Normal.0"/>
        <w:spacing w:after="0"/>
        <w:rPr>
          <w:sz w:val="23"/>
          <w:szCs w:val="23"/>
        </w:rPr>
      </w:pPr>
    </w:p>
    <w:p>
      <w:pPr>
        <w:pStyle w:val="Normal.0"/>
        <w:shd w:val="clear" w:color="auto" w:fill="fbd4b4"/>
        <w:spacing w:after="0" w:line="240" w:lineRule="auto"/>
        <w:ind w:right="90"/>
        <w:jc w:val="both"/>
        <w:rPr>
          <w:b w:val="1"/>
          <w:bCs w:val="1"/>
          <w:sz w:val="24"/>
          <w:szCs w:val="24"/>
        </w:rPr>
      </w:pPr>
      <w:r>
        <w:rPr>
          <w:b w:val="1"/>
          <w:bCs w:val="1"/>
          <w:sz w:val="24"/>
          <w:szCs w:val="24"/>
          <w:rtl w:val="0"/>
          <w:lang w:val="en-US"/>
        </w:rPr>
        <w:t>1: Professional Learning (PL) Goals</w:t>
      </w:r>
    </w:p>
    <w:p>
      <w:pPr>
        <w:pStyle w:val="Normal.0"/>
        <w:spacing w:after="0" w:line="240" w:lineRule="auto"/>
        <w:outlineLvl w:val="0"/>
        <w:rPr>
          <w:b w:val="1"/>
          <w:bCs w:val="1"/>
          <w:sz w:val="24"/>
          <w:szCs w:val="24"/>
          <w:shd w:val="clear" w:color="auto" w:fill="c6d9f1"/>
        </w:rPr>
      </w:pPr>
    </w:p>
    <w:tbl>
      <w:tblPr>
        <w:tblW w:w="1431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0"/>
        <w:gridCol w:w="5186"/>
        <w:gridCol w:w="3265"/>
        <w:gridCol w:w="5049"/>
      </w:tblGrid>
      <w:tr>
        <w:tblPrEx>
          <w:shd w:val="clear" w:color="auto" w:fill="ced7e7"/>
        </w:tblPrEx>
        <w:trPr>
          <w:trHeight w:val="740" w:hRule="atLeast"/>
        </w:trPr>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db3e2"/>
            <w:tcMar>
              <w:top w:type="dxa" w:w="80"/>
              <w:left w:type="dxa" w:w="80"/>
              <w:bottom w:type="dxa" w:w="80"/>
              <w:right w:type="dxa" w:w="80"/>
            </w:tcMar>
            <w:vAlign w:val="center"/>
          </w:tcPr>
          <w:p>
            <w:pPr>
              <w:pStyle w:val="Normal.0"/>
              <w:spacing w:after="0" w:line="240" w:lineRule="auto"/>
              <w:jc w:val="center"/>
              <w:rPr>
                <w:b w:val="1"/>
                <w:bCs w:val="1"/>
              </w:rPr>
            </w:pPr>
            <w:r>
              <w:rPr>
                <w:b w:val="1"/>
                <w:bCs w:val="1"/>
                <w:rtl w:val="0"/>
                <w:lang w:val="en-US"/>
              </w:rPr>
              <w:t>PL</w:t>
            </w:r>
          </w:p>
          <w:p>
            <w:pPr>
              <w:pStyle w:val="Normal.0"/>
              <w:bidi w:val="0"/>
              <w:spacing w:after="0" w:line="240" w:lineRule="auto"/>
              <w:ind w:left="0" w:right="0" w:firstLine="0"/>
              <w:jc w:val="center"/>
              <w:rPr>
                <w:b w:val="1"/>
                <w:bCs w:val="1"/>
                <w:rtl w:val="0"/>
              </w:rPr>
            </w:pPr>
            <w:r>
              <w:rPr>
                <w:b w:val="1"/>
                <w:bCs w:val="1"/>
                <w:rtl w:val="0"/>
                <w:lang w:val="en-US"/>
              </w:rPr>
              <w:t>Goal</w:t>
            </w:r>
          </w:p>
          <w:p>
            <w:pPr>
              <w:pStyle w:val="Normal.0"/>
              <w:spacing w:after="0" w:line="240" w:lineRule="auto"/>
              <w:jc w:val="center"/>
            </w:pPr>
            <w:r>
              <w:rPr>
                <w:b w:val="1"/>
                <w:bCs w:val="1"/>
                <w:rtl w:val="0"/>
                <w:lang w:val="en-US"/>
              </w:rPr>
              <w:t>No.</w:t>
            </w:r>
          </w:p>
        </w:tc>
        <w:tc>
          <w:tcPr>
            <w:tcW w:type="dxa" w:w="5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db3e2"/>
            <w:tcMar>
              <w:top w:type="dxa" w:w="80"/>
              <w:left w:type="dxa" w:w="80"/>
              <w:bottom w:type="dxa" w:w="80"/>
              <w:right w:type="dxa" w:w="80"/>
            </w:tcMar>
            <w:vAlign w:val="center"/>
          </w:tcPr>
          <w:p>
            <w:pPr>
              <w:pStyle w:val="Normal.0"/>
              <w:spacing w:after="0" w:line="240" w:lineRule="auto"/>
              <w:jc w:val="center"/>
            </w:pPr>
            <w:r>
              <w:rPr>
                <w:b w:val="1"/>
                <w:bCs w:val="1"/>
                <w:rtl w:val="0"/>
                <w:lang w:val="en-US"/>
              </w:rPr>
              <w:t>Goals</w:t>
            </w:r>
          </w:p>
        </w:tc>
        <w:tc>
          <w:tcPr>
            <w:tcW w:type="dxa" w:w="3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db3e2"/>
            <w:tcMar>
              <w:top w:type="dxa" w:w="80"/>
              <w:left w:type="dxa" w:w="80"/>
              <w:bottom w:type="dxa" w:w="80"/>
              <w:right w:type="dxa" w:w="80"/>
            </w:tcMar>
            <w:vAlign w:val="top"/>
          </w:tcPr>
          <w:p>
            <w:pPr>
              <w:pStyle w:val="Normal.0"/>
              <w:spacing w:after="0" w:line="240" w:lineRule="auto"/>
              <w:jc w:val="center"/>
              <w:rPr>
                <w:b w:val="1"/>
                <w:bCs w:val="1"/>
              </w:rPr>
            </w:pPr>
            <w:r>
              <w:rPr>
                <w:b w:val="1"/>
                <w:bCs w:val="1"/>
                <w:rtl w:val="0"/>
                <w:lang w:val="en-US"/>
              </w:rPr>
              <w:t>Identified</w:t>
            </w:r>
          </w:p>
          <w:p>
            <w:pPr>
              <w:pStyle w:val="Normal.0"/>
              <w:spacing w:after="0" w:line="240" w:lineRule="auto"/>
              <w:jc w:val="center"/>
            </w:pPr>
            <w:r>
              <w:rPr>
                <w:b w:val="1"/>
                <w:bCs w:val="1"/>
                <w:rtl w:val="0"/>
                <w:lang w:val="en-US"/>
              </w:rPr>
              <w:t>Group</w:t>
            </w:r>
          </w:p>
        </w:tc>
        <w:tc>
          <w:tcPr>
            <w:tcW w:type="dxa" w:w="5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db3e2"/>
            <w:tcMar>
              <w:top w:type="dxa" w:w="80"/>
              <w:left w:type="dxa" w:w="80"/>
              <w:bottom w:type="dxa" w:w="80"/>
              <w:right w:type="dxa" w:w="80"/>
            </w:tcMar>
            <w:vAlign w:val="center"/>
          </w:tcPr>
          <w:p>
            <w:pPr>
              <w:pStyle w:val="Normal.0"/>
              <w:spacing w:after="0" w:line="240" w:lineRule="auto"/>
              <w:jc w:val="center"/>
            </w:pPr>
            <w:r>
              <w:rPr>
                <w:b w:val="1"/>
                <w:bCs w:val="1"/>
                <w:rtl w:val="0"/>
                <w:lang w:val="en-US"/>
              </w:rPr>
              <w:t>Rationale/Sources of Evidence</w:t>
            </w:r>
          </w:p>
        </w:tc>
      </w:tr>
      <w:tr>
        <w:tblPrEx>
          <w:shd w:val="clear" w:color="auto" w:fill="ced7e7"/>
        </w:tblPrEx>
        <w:trPr>
          <w:trHeight w:val="2410" w:hRule="atLeast"/>
        </w:trPr>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pPr>
            <w:r>
              <w:rPr>
                <w:b w:val="1"/>
                <w:bCs w:val="1"/>
                <w:rtl w:val="0"/>
                <w:lang w:val="en-US"/>
              </w:rPr>
              <w:t>1</w:t>
            </w:r>
          </w:p>
        </w:tc>
        <w:tc>
          <w:tcPr>
            <w:tcW w:type="dxa" w:w="5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sz w:val="22"/>
                <w:szCs w:val="22"/>
                <w:rtl w:val="0"/>
                <w:lang w:val="en-US"/>
              </w:rPr>
              <w:t>Build capacity of all teachers to align instruction and assessment with the New Jersey Student Learning Standards (NJSLS)</w:t>
            </w:r>
          </w:p>
        </w:tc>
        <w:tc>
          <w:tcPr>
            <w:tcW w:type="dxa" w:w="3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Teachers, Supervisors, and CSA</w:t>
            </w:r>
          </w:p>
        </w:tc>
        <w:tc>
          <w:tcPr>
            <w:tcW w:type="dxa" w:w="5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-Requirements mandating the alignment of curriculum to the New Jersey Student Learning Standards.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-Analysis of 2019-2020 district LINKIT benchmark assessment data designed to identify readiness for state assessments indicating below standards performance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 xml:space="preserve">-Analysis of 2018-2019 teacher evaluation data to address areas of concern regarding instructional practices. </w:t>
            </w:r>
          </w:p>
        </w:tc>
      </w:tr>
      <w:tr>
        <w:tblPrEx>
          <w:shd w:val="clear" w:color="auto" w:fill="ced7e7"/>
        </w:tblPrEx>
        <w:trPr>
          <w:trHeight w:val="1210" w:hRule="atLeast"/>
        </w:trPr>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pPr>
            <w:r>
              <w:rPr>
                <w:b w:val="1"/>
                <w:bCs w:val="1"/>
                <w:rtl w:val="0"/>
                <w:lang w:val="en-US"/>
              </w:rPr>
              <w:t>2</w:t>
            </w:r>
            <w:r>
              <w:rPr>
                <w:b w:val="1"/>
                <w:bCs w:val="1"/>
              </w:rPr>
            </w:r>
          </w:p>
        </w:tc>
        <w:tc>
          <w:tcPr>
            <w:tcW w:type="dxa" w:w="5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spacing w:after="0" w:line="240" w:lineRule="auto"/>
            </w:pPr>
            <w:r>
              <w:rPr>
                <w:rFonts w:ascii="Calibri" w:cs="Calibri" w:hAnsi="Calibri" w:eastAsia="Calibri"/>
                <w:sz w:val="22"/>
                <w:szCs w:val="22"/>
                <w:rtl w:val="0"/>
                <w:lang w:val="en-US"/>
              </w:rPr>
              <w:t>Continue to build capacity to of staff to engage in continuous growth by suing job-embedded, collaborative Professional Learning practices</w:t>
            </w:r>
          </w:p>
        </w:tc>
        <w:tc>
          <w:tcPr>
            <w:tcW w:type="dxa" w:w="3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Teachers, Supervisors, and CSA</w:t>
            </w:r>
          </w:p>
        </w:tc>
        <w:tc>
          <w:tcPr>
            <w:tcW w:type="dxa" w:w="5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-State requirements are in place for effective implementation of the evaluation p[rocess based on the TEACHNJ Act.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-The district</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s goal to improve student achievement by 5%</w:t>
            </w:r>
          </w:p>
        </w:tc>
      </w:tr>
      <w:tr>
        <w:tblPrEx>
          <w:shd w:val="clear" w:color="auto" w:fill="ced7e7"/>
        </w:tblPrEx>
        <w:trPr>
          <w:trHeight w:val="1450" w:hRule="atLeast"/>
        </w:trPr>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jc w:val="center"/>
            </w:pPr>
            <w:r>
              <w:rPr>
                <w:b w:val="1"/>
                <w:bCs w:val="1"/>
                <w:rtl w:val="0"/>
                <w:lang w:val="en-US"/>
              </w:rPr>
              <w:t>3</w:t>
            </w:r>
          </w:p>
        </w:tc>
        <w:tc>
          <w:tcPr>
            <w:tcW w:type="dxa" w:w="51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Calibri" w:cs="Calibri" w:hAnsi="Calibri" w:eastAsia="Calibri"/>
                <w:sz w:val="22"/>
                <w:szCs w:val="22"/>
                <w:rtl w:val="0"/>
                <w:lang w:val="en-US"/>
              </w:rPr>
              <w:t>Continue to utilize benchmark assessments to conduct data analysis to track student progress.</w:t>
            </w:r>
          </w:p>
        </w:tc>
        <w:tc>
          <w:tcPr>
            <w:tcW w:type="dxa" w:w="3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Teachers, Supervisors, and CSA</w:t>
            </w:r>
          </w:p>
        </w:tc>
        <w:tc>
          <w:tcPr>
            <w:tcW w:type="dxa" w:w="5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In 2018-2019 the district implemented the LINKIT online data management and assessment system to provide staff direct access to students</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formative assessment results. This process was found useful and will continue to be implemented during the 2019-2020 school year.</w:t>
            </w:r>
          </w:p>
        </w:tc>
      </w:tr>
    </w:tbl>
    <w:p>
      <w:pPr>
        <w:pStyle w:val="Normal.0"/>
        <w:widowControl w:val="0"/>
        <w:spacing w:after="0" w:line="240" w:lineRule="auto"/>
        <w:ind w:left="216" w:hanging="216"/>
        <w:outlineLvl w:val="0"/>
        <w:rPr>
          <w:b w:val="1"/>
          <w:bCs w:val="1"/>
          <w:sz w:val="24"/>
          <w:szCs w:val="24"/>
          <w:shd w:val="clear" w:color="auto" w:fill="c6d9f1"/>
        </w:rPr>
      </w:pPr>
    </w:p>
    <w:p>
      <w:pPr>
        <w:pStyle w:val="Normal.0"/>
        <w:widowControl w:val="0"/>
        <w:spacing w:after="0" w:line="240" w:lineRule="auto"/>
        <w:ind w:left="108" w:hanging="108"/>
        <w:outlineLvl w:val="0"/>
        <w:rPr>
          <w:b w:val="1"/>
          <w:bCs w:val="1"/>
          <w:sz w:val="24"/>
          <w:szCs w:val="24"/>
          <w:shd w:val="clear" w:color="auto" w:fill="c6d9f1"/>
        </w:rPr>
      </w:pPr>
    </w:p>
    <w:p>
      <w:pPr>
        <w:pStyle w:val="Normal.0"/>
        <w:spacing w:after="0" w:line="240" w:lineRule="auto"/>
        <w:rPr>
          <w:rFonts w:ascii="Times New Roman" w:cs="Times New Roman" w:hAnsi="Times New Roman" w:eastAsia="Times New Roman"/>
          <w:b w:val="1"/>
          <w:bCs w:val="1"/>
          <w:sz w:val="28"/>
          <w:szCs w:val="28"/>
          <w:shd w:val="clear" w:color="auto" w:fill="c6d9f1"/>
        </w:rPr>
      </w:pPr>
    </w:p>
    <w:p>
      <w:pPr>
        <w:pStyle w:val="Normal.0"/>
        <w:spacing w:after="0" w:line="240" w:lineRule="auto"/>
        <w:rPr>
          <w:rFonts w:ascii="Times New Roman" w:cs="Times New Roman" w:hAnsi="Times New Roman" w:eastAsia="Times New Roman"/>
          <w:b w:val="1"/>
          <w:bCs w:val="1"/>
          <w:sz w:val="28"/>
          <w:szCs w:val="28"/>
          <w:shd w:val="clear" w:color="auto" w:fill="c6d9f1"/>
        </w:rPr>
      </w:pPr>
    </w:p>
    <w:p>
      <w:pPr>
        <w:pStyle w:val="Normal.0"/>
        <w:spacing w:after="0" w:line="240" w:lineRule="auto"/>
        <w:rPr>
          <w:rFonts w:ascii="Times New Roman" w:cs="Times New Roman" w:hAnsi="Times New Roman" w:eastAsia="Times New Roman"/>
          <w:b w:val="1"/>
          <w:bCs w:val="1"/>
          <w:sz w:val="28"/>
          <w:szCs w:val="28"/>
        </w:rPr>
      </w:pPr>
    </w:p>
    <w:p>
      <w:pPr>
        <w:pStyle w:val="Normal.0"/>
        <w:shd w:val="clear" w:color="auto" w:fill="fbd4b4"/>
        <w:spacing w:after="0" w:line="240" w:lineRule="auto"/>
        <w:ind w:right="90"/>
        <w:jc w:val="both"/>
        <w:rPr>
          <w:b w:val="1"/>
          <w:bCs w:val="1"/>
          <w:sz w:val="24"/>
          <w:szCs w:val="24"/>
        </w:rPr>
      </w:pPr>
      <w:r>
        <w:rPr>
          <w:b w:val="1"/>
          <w:bCs w:val="1"/>
          <w:sz w:val="24"/>
          <w:szCs w:val="24"/>
          <w:rtl w:val="0"/>
          <w:lang w:val="en-US"/>
        </w:rPr>
        <w:t>2: Professional Learning Activities</w:t>
      </w:r>
    </w:p>
    <w:p>
      <w:pPr>
        <w:pStyle w:val="Normal.0"/>
        <w:spacing w:after="0" w:line="240" w:lineRule="auto"/>
        <w:outlineLvl w:val="0"/>
        <w:rPr>
          <w:b w:val="1"/>
          <w:bCs w:val="1"/>
          <w:sz w:val="24"/>
          <w:szCs w:val="24"/>
          <w:shd w:val="clear" w:color="auto" w:fill="c6d9f1"/>
        </w:rPr>
      </w:pPr>
    </w:p>
    <w:tbl>
      <w:tblPr>
        <w:tblW w:w="1431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88"/>
        <w:gridCol w:w="5962"/>
        <w:gridCol w:w="7560"/>
      </w:tblGrid>
      <w:tr>
        <w:tblPrEx>
          <w:shd w:val="clear" w:color="auto" w:fill="ced7e7"/>
        </w:tblPrEx>
        <w:trPr>
          <w:trHeight w:val="740" w:hRule="atLeast"/>
        </w:trPr>
        <w:tc>
          <w:tcPr>
            <w:tcW w:type="dxa" w:w="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db3e2"/>
            <w:tcMar>
              <w:top w:type="dxa" w:w="80"/>
              <w:left w:type="dxa" w:w="80"/>
              <w:bottom w:type="dxa" w:w="80"/>
              <w:right w:type="dxa" w:w="80"/>
            </w:tcMar>
            <w:vAlign w:val="center"/>
          </w:tcPr>
          <w:p>
            <w:pPr>
              <w:pStyle w:val="Normal.0"/>
              <w:spacing w:after="0" w:line="240" w:lineRule="auto"/>
              <w:jc w:val="center"/>
              <w:rPr>
                <w:b w:val="1"/>
                <w:bCs w:val="1"/>
              </w:rPr>
            </w:pPr>
            <w:r>
              <w:rPr>
                <w:b w:val="1"/>
                <w:bCs w:val="1"/>
                <w:rtl w:val="0"/>
                <w:lang w:val="en-US"/>
              </w:rPr>
              <w:t>PL</w:t>
            </w:r>
          </w:p>
          <w:p>
            <w:pPr>
              <w:pStyle w:val="Normal.0"/>
              <w:bidi w:val="0"/>
              <w:spacing w:after="0" w:line="240" w:lineRule="auto"/>
              <w:ind w:left="0" w:right="0" w:firstLine="0"/>
              <w:jc w:val="center"/>
              <w:rPr>
                <w:b w:val="1"/>
                <w:bCs w:val="1"/>
                <w:rtl w:val="0"/>
              </w:rPr>
            </w:pPr>
            <w:r>
              <w:rPr>
                <w:b w:val="1"/>
                <w:bCs w:val="1"/>
                <w:rtl w:val="0"/>
                <w:lang w:val="en-US"/>
              </w:rPr>
              <w:t>Goal</w:t>
            </w:r>
          </w:p>
          <w:p>
            <w:pPr>
              <w:pStyle w:val="Normal.0"/>
              <w:spacing w:after="0" w:line="240" w:lineRule="auto"/>
              <w:jc w:val="center"/>
            </w:pPr>
            <w:r>
              <w:rPr>
                <w:b w:val="1"/>
                <w:bCs w:val="1"/>
                <w:rtl w:val="0"/>
                <w:lang w:val="en-US"/>
              </w:rPr>
              <w:t>No</w:t>
            </w:r>
          </w:p>
        </w:tc>
        <w:tc>
          <w:tcPr>
            <w:tcW w:type="dxa" w:w="5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db3e2"/>
            <w:tcMar>
              <w:top w:type="dxa" w:w="80"/>
              <w:left w:type="dxa" w:w="99"/>
              <w:bottom w:type="dxa" w:w="80"/>
              <w:right w:type="dxa" w:w="80"/>
            </w:tcMar>
            <w:vAlign w:val="center"/>
          </w:tcPr>
          <w:p>
            <w:pPr>
              <w:pStyle w:val="Normal.0"/>
              <w:spacing w:after="0" w:line="240" w:lineRule="auto"/>
              <w:ind w:left="19" w:hanging="19"/>
              <w:jc w:val="center"/>
            </w:pPr>
            <w:r>
              <w:rPr>
                <w:b w:val="1"/>
                <w:bCs w:val="1"/>
                <w:rtl w:val="0"/>
                <w:lang w:val="en-US"/>
              </w:rPr>
              <w:t>Initial Activities</w:t>
            </w:r>
          </w:p>
        </w:tc>
        <w:tc>
          <w:tcPr>
            <w:tcW w:type="dxa" w:w="7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db3e2"/>
            <w:tcMar>
              <w:top w:type="dxa" w:w="80"/>
              <w:left w:type="dxa" w:w="80"/>
              <w:bottom w:type="dxa" w:w="80"/>
              <w:right w:type="dxa" w:w="80"/>
            </w:tcMar>
            <w:vAlign w:val="center"/>
          </w:tcPr>
          <w:p>
            <w:pPr>
              <w:pStyle w:val="Normal.0"/>
              <w:spacing w:after="0" w:line="240" w:lineRule="auto"/>
              <w:jc w:val="center"/>
            </w:pPr>
            <w:r>
              <w:rPr>
                <w:b w:val="1"/>
                <w:bCs w:val="1"/>
                <w:rtl w:val="0"/>
                <w:lang w:val="en-US"/>
              </w:rPr>
              <w:t>Follow-up Activities (as appropriate)</w:t>
            </w:r>
          </w:p>
        </w:tc>
      </w:tr>
      <w:tr>
        <w:tblPrEx>
          <w:shd w:val="clear" w:color="auto" w:fill="ced7e7"/>
        </w:tblPrEx>
        <w:trPr>
          <w:trHeight w:val="1450" w:hRule="atLeast"/>
        </w:trPr>
        <w:tc>
          <w:tcPr>
            <w:tcW w:type="dxa" w:w="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1</w:t>
            </w:r>
          </w:p>
        </w:tc>
        <w:tc>
          <w:tcPr>
            <w:tcW w:type="dxa" w:w="5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-Staff will work throughout the school year to unpack the standards and align teaching strategies to the instructional requirements entailed by the NJSLS.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-Building level administrators will attend district trainings on the NJSLS and participate in state and county offered PD for curriculum alignment</w:t>
            </w:r>
          </w:p>
        </w:tc>
        <w:tc>
          <w:tcPr>
            <w:tcW w:type="dxa" w:w="7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The Director of Curriculum and Instruction along with the CSA will provide time and support for school-based collaborative teams to develop and align instructional units and assessments. Additional support will be given to provide opportunities to meet with colleagues in surrounding school districts.</w:t>
            </w:r>
          </w:p>
        </w:tc>
      </w:tr>
      <w:tr>
        <w:tblPrEx>
          <w:shd w:val="clear" w:color="auto" w:fill="ced7e7"/>
        </w:tblPrEx>
        <w:trPr>
          <w:trHeight w:val="1690" w:hRule="atLeast"/>
        </w:trPr>
        <w:tc>
          <w:tcPr>
            <w:tcW w:type="dxa" w:w="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2</w:t>
            </w:r>
          </w:p>
        </w:tc>
        <w:tc>
          <w:tcPr>
            <w:tcW w:type="dxa" w:w="5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-Staff will receive training and information regarding updates to the teacher evaluation process and the development of effective Student growth Objectives (SGO</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-Building level administration will participate in district sponsored training throughout the school year to support teachers with improvement of instructional pedagogy.</w:t>
            </w:r>
          </w:p>
        </w:tc>
        <w:tc>
          <w:tcPr>
            <w:tcW w:type="dxa" w:w="7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-Teachers and school-based collaborative teams will discuss and reflect on best practices and exemplar instruction.</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Building-level administrators will explore effective evaluation strategies by conducting pre/post conferences with staff members regarding successful implementation of instructional strategies.</w:t>
            </w:r>
          </w:p>
        </w:tc>
      </w:tr>
      <w:tr>
        <w:tblPrEx>
          <w:shd w:val="clear" w:color="auto" w:fill="ced7e7"/>
        </w:tblPrEx>
        <w:trPr>
          <w:trHeight w:val="1930" w:hRule="atLeast"/>
        </w:trPr>
        <w:tc>
          <w:tcPr>
            <w:tcW w:type="dxa" w:w="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3</w:t>
            </w:r>
          </w:p>
        </w:tc>
        <w:tc>
          <w:tcPr>
            <w:tcW w:type="dxa" w:w="5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-School level administrators will provide teachers with support as outlines in each staff members PDP. All PDP</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s will include a goal and school-wide professional learning activities aligned with the goal.</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-Administrators will gather input from peers, staff, and other schools/districts to create a schedule with dedicated time to PLC and student intervention/enrichment.</w:t>
            </w:r>
          </w:p>
        </w:tc>
        <w:tc>
          <w:tcPr>
            <w:tcW w:type="dxa" w:w="75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-Teachers will work with their primary evaluator and colleagues to implement and/or refine job-embedded, collaborative PLC practices.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-Teachers of NJSLS content areas will work with their collaborative teams to inform PLC decisions for individual teacher and/or teams.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-Staff members will share their PD learning experiences with colleagues at monthly staff meetings ands turn-key training within their respective content areas.</w:t>
            </w:r>
          </w:p>
        </w:tc>
      </w:tr>
    </w:tbl>
    <w:p>
      <w:pPr>
        <w:pStyle w:val="Normal.0"/>
        <w:widowControl w:val="0"/>
        <w:spacing w:after="0" w:line="240" w:lineRule="auto"/>
        <w:ind w:left="216" w:hanging="216"/>
        <w:outlineLvl w:val="0"/>
        <w:rPr>
          <w:b w:val="1"/>
          <w:bCs w:val="1"/>
          <w:sz w:val="24"/>
          <w:szCs w:val="24"/>
          <w:shd w:val="clear" w:color="auto" w:fill="c6d9f1"/>
        </w:rPr>
      </w:pPr>
    </w:p>
    <w:p>
      <w:pPr>
        <w:pStyle w:val="Normal.0"/>
        <w:widowControl w:val="0"/>
        <w:spacing w:after="0" w:line="240" w:lineRule="auto"/>
        <w:ind w:left="108" w:hanging="108"/>
        <w:outlineLvl w:val="0"/>
        <w:rPr>
          <w:b w:val="1"/>
          <w:bCs w:val="1"/>
          <w:sz w:val="24"/>
          <w:szCs w:val="24"/>
          <w:shd w:val="clear" w:color="auto" w:fill="c6d9f1"/>
        </w:rPr>
      </w:pPr>
    </w:p>
    <w:p>
      <w:pPr>
        <w:pStyle w:val="Default"/>
        <w:rPr>
          <w:rFonts w:ascii="Calibri" w:cs="Calibri" w:hAnsi="Calibri" w:eastAsia="Calibri"/>
          <w:sz w:val="22"/>
          <w:szCs w:val="22"/>
          <w:shd w:val="clear" w:color="auto" w:fill="c6d9f1"/>
        </w:rPr>
      </w:pPr>
    </w:p>
    <w:p>
      <w:pPr>
        <w:pStyle w:val="Default"/>
        <w:rPr>
          <w:rFonts w:ascii="Calibri" w:cs="Calibri" w:hAnsi="Calibri" w:eastAsia="Calibri"/>
          <w:sz w:val="22"/>
          <w:szCs w:val="22"/>
          <w:shd w:val="clear" w:color="auto" w:fill="c6d9f1"/>
        </w:rPr>
      </w:pPr>
    </w:p>
    <w:p>
      <w:pPr>
        <w:pStyle w:val="Default"/>
        <w:rPr>
          <w:rFonts w:ascii="Calibri" w:cs="Calibri" w:hAnsi="Calibri" w:eastAsia="Calibri"/>
          <w:sz w:val="22"/>
          <w:szCs w:val="22"/>
          <w:shd w:val="clear" w:color="auto" w:fill="c6d9f1"/>
        </w:rPr>
      </w:pPr>
    </w:p>
    <w:p>
      <w:pPr>
        <w:pStyle w:val="Default"/>
        <w:rPr>
          <w:rFonts w:ascii="Calibri" w:cs="Calibri" w:hAnsi="Calibri" w:eastAsia="Calibri"/>
          <w:sz w:val="22"/>
          <w:szCs w:val="22"/>
          <w:shd w:val="clear" w:color="auto" w:fill="c6d9f1"/>
        </w:rPr>
      </w:pPr>
    </w:p>
    <w:p>
      <w:pPr>
        <w:pStyle w:val="Default"/>
        <w:rPr>
          <w:rFonts w:ascii="Calibri" w:cs="Calibri" w:hAnsi="Calibri" w:eastAsia="Calibri"/>
          <w:sz w:val="22"/>
          <w:szCs w:val="22"/>
          <w:shd w:val="clear" w:color="auto" w:fill="c6d9f1"/>
        </w:rPr>
      </w:pPr>
    </w:p>
    <w:p>
      <w:pPr>
        <w:pStyle w:val="Default"/>
        <w:rPr>
          <w:rFonts w:ascii="Calibri" w:cs="Calibri" w:hAnsi="Calibri" w:eastAsia="Calibri"/>
          <w:sz w:val="22"/>
          <w:szCs w:val="22"/>
          <w:shd w:val="clear" w:color="auto" w:fill="c6d9f1"/>
        </w:rPr>
      </w:pPr>
    </w:p>
    <w:p>
      <w:pPr>
        <w:pStyle w:val="Default"/>
        <w:rPr>
          <w:rFonts w:ascii="Calibri" w:cs="Calibri" w:hAnsi="Calibri" w:eastAsia="Calibri"/>
          <w:sz w:val="22"/>
          <w:szCs w:val="22"/>
        </w:rPr>
      </w:pPr>
    </w:p>
    <w:p>
      <w:pPr>
        <w:pStyle w:val="Normal.0"/>
        <w:shd w:val="clear" w:color="auto" w:fill="fbd4b4"/>
        <w:spacing w:after="0" w:line="240" w:lineRule="auto"/>
        <w:ind w:right="90"/>
        <w:rPr>
          <w:sz w:val="24"/>
          <w:szCs w:val="24"/>
        </w:rPr>
      </w:pPr>
      <w:r>
        <w:rPr>
          <w:b w:val="1"/>
          <w:bCs w:val="1"/>
          <w:sz w:val="24"/>
          <w:szCs w:val="24"/>
          <w:rtl w:val="0"/>
          <w:lang w:val="en-US"/>
        </w:rPr>
        <w:t>3: PD Required by Statute or Regulation</w:t>
      </w:r>
    </w:p>
    <w:p>
      <w:pPr>
        <w:pStyle w:val="Default"/>
        <w:rPr>
          <w:rFonts w:ascii="Calibri" w:cs="Calibri" w:hAnsi="Calibri" w:eastAsia="Calibri"/>
          <w:b w:val="1"/>
          <w:bCs w:val="1"/>
        </w:rPr>
      </w:pPr>
    </w:p>
    <w:tbl>
      <w:tblPr>
        <w:tblW w:w="1431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310"/>
      </w:tblGrid>
      <w:tr>
        <w:tblPrEx>
          <w:shd w:val="clear" w:color="auto" w:fill="ced7e7"/>
        </w:tblPrEx>
        <w:trPr>
          <w:trHeight w:val="260" w:hRule="atLeast"/>
        </w:trPr>
        <w:tc>
          <w:tcPr>
            <w:tcW w:type="dxa" w:w="14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db3e2"/>
            <w:tcMar>
              <w:top w:type="dxa" w:w="80"/>
              <w:left w:type="dxa" w:w="80"/>
              <w:bottom w:type="dxa" w:w="80"/>
              <w:right w:type="dxa" w:w="80"/>
            </w:tcMar>
            <w:vAlign w:val="center"/>
          </w:tcPr>
          <w:p>
            <w:pPr>
              <w:pStyle w:val="Normal.0"/>
              <w:spacing w:after="0" w:line="240" w:lineRule="auto"/>
              <w:jc w:val="center"/>
            </w:pPr>
            <w:r>
              <w:rPr>
                <w:b w:val="1"/>
                <w:bCs w:val="1"/>
                <w:rtl w:val="0"/>
                <w:lang w:val="en-US"/>
              </w:rPr>
              <w:t>State-mandated PD Activities</w:t>
            </w:r>
          </w:p>
        </w:tc>
      </w:tr>
      <w:tr>
        <w:tblPrEx>
          <w:shd w:val="clear" w:color="auto" w:fill="ced7e7"/>
        </w:tblPrEx>
        <w:trPr>
          <w:trHeight w:val="260" w:hRule="atLeast"/>
        </w:trPr>
        <w:tc>
          <w:tcPr>
            <w:tcW w:type="dxa" w:w="14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Attachment to be provided</w:t>
            </w:r>
          </w:p>
        </w:tc>
      </w:tr>
    </w:tbl>
    <w:p>
      <w:pPr>
        <w:pStyle w:val="Default"/>
        <w:widowControl w:val="0"/>
        <w:spacing w:line="240" w:lineRule="auto"/>
        <w:ind w:left="216" w:hanging="216"/>
        <w:rPr>
          <w:rFonts w:ascii="Calibri" w:cs="Calibri" w:hAnsi="Calibri" w:eastAsia="Calibri"/>
          <w:b w:val="1"/>
          <w:bCs w:val="1"/>
        </w:rPr>
      </w:pPr>
    </w:p>
    <w:p>
      <w:pPr>
        <w:pStyle w:val="Default"/>
        <w:widowControl w:val="0"/>
        <w:spacing w:line="240" w:lineRule="auto"/>
        <w:ind w:left="108" w:hanging="108"/>
        <w:rPr>
          <w:rFonts w:ascii="Calibri" w:cs="Calibri" w:hAnsi="Calibri" w:eastAsia="Calibri"/>
          <w:b w:val="1"/>
          <w:bCs w:val="1"/>
        </w:rPr>
      </w:pPr>
    </w:p>
    <w:p>
      <w:pPr>
        <w:pStyle w:val="Normal.0"/>
        <w:spacing w:after="0" w:line="240" w:lineRule="auto"/>
      </w:pPr>
    </w:p>
    <w:p>
      <w:pPr>
        <w:pStyle w:val="Normal.0"/>
        <w:shd w:val="clear" w:color="auto" w:fill="fbd4b4"/>
        <w:spacing w:after="0" w:line="240" w:lineRule="auto"/>
        <w:ind w:right="90"/>
        <w:rPr>
          <w:sz w:val="24"/>
          <w:szCs w:val="24"/>
        </w:rPr>
      </w:pPr>
      <w:r>
        <w:rPr>
          <w:b w:val="1"/>
          <w:bCs w:val="1"/>
          <w:sz w:val="24"/>
          <w:szCs w:val="24"/>
          <w:rtl w:val="0"/>
          <w:lang w:val="en-US"/>
        </w:rPr>
        <w:t>4: Resources and Justification</w:t>
      </w:r>
    </w:p>
    <w:p>
      <w:pPr>
        <w:pStyle w:val="Normal.0"/>
        <w:spacing w:after="0" w:line="240" w:lineRule="auto"/>
        <w:rPr>
          <w:sz w:val="23"/>
          <w:szCs w:val="23"/>
        </w:rPr>
      </w:pPr>
    </w:p>
    <w:tbl>
      <w:tblPr>
        <w:tblW w:w="1431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310"/>
      </w:tblGrid>
      <w:tr>
        <w:tblPrEx>
          <w:shd w:val="clear" w:color="auto" w:fill="ced7e7"/>
        </w:tblPrEx>
        <w:trPr>
          <w:trHeight w:val="300" w:hRule="atLeast"/>
        </w:trPr>
        <w:tc>
          <w:tcPr>
            <w:tcW w:type="dxa" w:w="14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db3e2"/>
            <w:tcMar>
              <w:top w:type="dxa" w:w="80"/>
              <w:left w:type="dxa" w:w="80"/>
              <w:bottom w:type="dxa" w:w="80"/>
              <w:right w:type="dxa" w:w="80"/>
            </w:tcMar>
            <w:vAlign w:val="top"/>
          </w:tcPr>
          <w:p>
            <w:pPr>
              <w:pStyle w:val="Normal.0"/>
              <w:spacing w:after="0" w:line="240" w:lineRule="auto"/>
              <w:jc w:val="center"/>
            </w:pPr>
            <w:r>
              <w:rPr>
                <w:b w:val="1"/>
                <w:bCs w:val="1"/>
                <w:sz w:val="23"/>
                <w:szCs w:val="23"/>
                <w:rtl w:val="0"/>
                <w:lang w:val="en-US"/>
              </w:rPr>
              <w:t>Resources</w:t>
            </w:r>
          </w:p>
        </w:tc>
      </w:tr>
      <w:tr>
        <w:tblPrEx>
          <w:shd w:val="clear" w:color="auto" w:fill="ced7e7"/>
        </w:tblPrEx>
        <w:trPr>
          <w:trHeight w:val="1690" w:hRule="atLeast"/>
        </w:trPr>
        <w:tc>
          <w:tcPr>
            <w:tcW w:type="dxa" w:w="14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The continuous allocation of funding from the district budget must be aligned to meet the Professional Learning goals of the district plan. The allocation will come from a variety of resources including but not limited to state and federal funds and will be adjusted as needed with board approval. The amount allocated for Professional Development covers the costs for external providers/consultants, materials, technology resources, travel expenses, subscriptions to online resources/databases, and staff stipends. The plan controls expenses by relying largely on in-district expertise and turn-key training. The employee contract stipulates staff members are allowed time for collaborative professional development opportunities.Weekly and monthly opportunities have been embedded into the master schedule to accomplish this goal.</w:t>
            </w:r>
          </w:p>
        </w:tc>
      </w:tr>
      <w:tr>
        <w:tblPrEx>
          <w:shd w:val="clear" w:color="auto" w:fill="ced7e7"/>
        </w:tblPrEx>
        <w:trPr>
          <w:trHeight w:val="300" w:hRule="atLeast"/>
        </w:trPr>
        <w:tc>
          <w:tcPr>
            <w:tcW w:type="dxa" w:w="14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db3e2"/>
            <w:tcMar>
              <w:top w:type="dxa" w:w="80"/>
              <w:left w:type="dxa" w:w="80"/>
              <w:bottom w:type="dxa" w:w="80"/>
              <w:right w:type="dxa" w:w="80"/>
            </w:tcMar>
            <w:vAlign w:val="top"/>
          </w:tcPr>
          <w:p>
            <w:pPr>
              <w:pStyle w:val="Normal.0"/>
              <w:spacing w:after="0" w:line="240" w:lineRule="auto"/>
              <w:jc w:val="center"/>
            </w:pPr>
            <w:r>
              <w:rPr>
                <w:b w:val="1"/>
                <w:bCs w:val="1"/>
                <w:sz w:val="23"/>
                <w:szCs w:val="23"/>
                <w:rtl w:val="0"/>
                <w:lang w:val="en-US"/>
              </w:rPr>
              <w:t>Justification</w:t>
            </w:r>
          </w:p>
        </w:tc>
      </w:tr>
      <w:tr>
        <w:tblPrEx>
          <w:shd w:val="clear" w:color="auto" w:fill="ced7e7"/>
        </w:tblPrEx>
        <w:trPr>
          <w:trHeight w:val="1210" w:hRule="atLeast"/>
        </w:trPr>
        <w:tc>
          <w:tcPr>
            <w:tcW w:type="dxa" w:w="14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A 2018-2019 data analysis has identified priority areas related to the supervision of instruction to ensure consistent and successful implementation of the NJSLS and AchieveNJ. High quality professional learning experiences are necessary to support these initiatives and improve educator</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s practice. Emphasis will be placed on the development of PLCs promoting teacher and administrators as reflective practitioners, support for the development of quality SGO</w:t>
            </w:r>
            <w:r>
              <w:rPr>
                <w:rFonts w:ascii="Calibri" w:cs="Calibri" w:hAnsi="Calibri" w:eastAsia="Calibri" w:hint="default"/>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14:textOutline>
                  <w14:noFill/>
                </w14:textOutline>
                <w14:textFill>
                  <w14:solidFill>
                    <w14:srgbClr w14:val="000000"/>
                  </w14:solidFill>
                </w14:textFill>
              </w:rPr>
              <w:t>s, and effective data use to drive instruction at the student, class, school, and district levels.</w:t>
            </w:r>
          </w:p>
        </w:tc>
      </w:tr>
    </w:tbl>
    <w:p>
      <w:pPr>
        <w:pStyle w:val="Normal.0"/>
        <w:widowControl w:val="0"/>
        <w:spacing w:after="0" w:line="240" w:lineRule="auto"/>
        <w:ind w:left="216" w:hanging="216"/>
        <w:rPr>
          <w:sz w:val="23"/>
          <w:szCs w:val="23"/>
        </w:rPr>
      </w:pPr>
    </w:p>
    <w:p>
      <w:pPr>
        <w:pStyle w:val="Normal.0"/>
        <w:widowControl w:val="0"/>
        <w:spacing w:after="0" w:line="240" w:lineRule="auto"/>
        <w:ind w:left="108" w:hanging="108"/>
        <w:rPr>
          <w:sz w:val="23"/>
          <w:szCs w:val="23"/>
        </w:rPr>
      </w:pPr>
    </w:p>
    <w:p>
      <w:pPr>
        <w:pStyle w:val="Colorful List - Accent 1"/>
        <w:tabs>
          <w:tab w:val="left" w:pos="1350"/>
        </w:tabs>
        <w:spacing w:line="240" w:lineRule="auto"/>
        <w:ind w:left="0" w:firstLine="0"/>
        <w:jc w:val="both"/>
        <w:rPr>
          <w:rFonts w:ascii="Calibri" w:cs="Calibri" w:hAnsi="Calibri" w:eastAsia="Calibri"/>
          <w:sz w:val="23"/>
          <w:szCs w:val="23"/>
        </w:rPr>
      </w:pPr>
    </w:p>
    <w:p>
      <w:pPr>
        <w:pStyle w:val="Normal.0"/>
        <w:shd w:val="clear" w:color="auto" w:fill="ffffff"/>
        <w:tabs>
          <w:tab w:val="left" w:pos="10800"/>
          <w:tab w:val="left" w:pos="11340"/>
        </w:tabs>
        <w:spacing w:after="0" w:line="240" w:lineRule="auto"/>
        <w:ind w:right="90"/>
        <w:rPr>
          <w:b w:val="1"/>
          <w:bCs w:val="1"/>
          <w:sz w:val="24"/>
          <w:szCs w:val="24"/>
        </w:rPr>
      </w:pPr>
      <w:r>
        <w:rPr>
          <w:b w:val="1"/>
          <w:bCs w:val="1"/>
          <w:sz w:val="24"/>
          <w:szCs w:val="24"/>
          <w:rtl w:val="0"/>
          <w:lang w:val="en-US"/>
        </w:rPr>
        <w:t xml:space="preserve">Signature:      ____________________________________                  ___________________        </w:t>
      </w:r>
    </w:p>
    <w:p>
      <w:pPr>
        <w:pStyle w:val="Normal.0"/>
        <w:shd w:val="clear" w:color="auto" w:fill="ffffff"/>
        <w:spacing w:after="0" w:line="240" w:lineRule="auto"/>
        <w:ind w:right="90"/>
        <w:outlineLvl w:val="0"/>
      </w:pPr>
      <w:r>
        <w:rPr>
          <w:b w:val="1"/>
          <w:bCs w:val="1"/>
          <w:sz w:val="24"/>
          <w:szCs w:val="24"/>
          <w:rtl w:val="0"/>
          <w:lang w:val="en-US"/>
        </w:rPr>
        <w:t xml:space="preserve">                            Superintendent Signature</w:t>
        <w:tab/>
        <w:tab/>
        <w:tab/>
        <w:tab/>
        <w:t xml:space="preserve">          </w:t>
        <w:tab/>
        <w:t xml:space="preserve">   Date</w:t>
        <w:tab/>
        <w:tab/>
      </w:r>
    </w:p>
    <w:sectPr>
      <w:headerReference w:type="default" r:id="rId4"/>
      <w:footerReference w:type="default" r:id="rId5"/>
      <w:pgSz w:w="15840" w:h="12240" w:orient="landscape"/>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 w:name="Franklin Gothic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6950"/>
        <w:tab w:val="clear" w:pos="4680"/>
        <w:tab w:val="clear" w:pos="9360"/>
      </w:tabs>
      <w:spacing w:after="0" w:line="240" w:lineRule="auto"/>
      <w:ind w:right="360"/>
    </w:pPr>
    <w:r>
      <w:rPr>
        <w:outline w:val="0"/>
        <w:color w:val="002060"/>
        <w:u w:color="002060"/>
        <w:rtl w:val="0"/>
        <w:lang w:val="en-US"/>
        <w14:textFill>
          <w14:solidFill>
            <w14:srgbClr w14:val="002060"/>
          </w14:solidFill>
        </w14:textFill>
      </w:rPr>
      <w:t>New Jersey Department of Education</w:t>
    </w:r>
    <w:r>
      <w:rPr>
        <w:outline w:val="0"/>
        <w:color w:val="1f497d"/>
        <w:u w:color="1f497d"/>
        <w14:textFill>
          <w14:solidFill>
            <w14:srgbClr w14:val="1F497D"/>
          </w14:solidFill>
        </w14:textFill>
      </w:rPr>
      <w:tab/>
    </w:r>
    <w:r>
      <w:rPr>
        <w:outline w:val="0"/>
        <w:color w:val="002060"/>
        <w:u w:color="002060"/>
        <w:rtl w:val="0"/>
        <w14:textFill>
          <w14:solidFill>
            <w14:srgbClr w14:val="002060"/>
          </w14:solidFill>
        </w14:textFill>
      </w:rPr>
      <w:fldChar w:fldCharType="begin" w:fldLock="0"/>
    </w:r>
    <w:r>
      <w:rPr>
        <w:outline w:val="0"/>
        <w:color w:val="002060"/>
        <w:u w:color="002060"/>
        <w:rtl w:val="0"/>
        <w14:textFill>
          <w14:solidFill>
            <w14:srgbClr w14:val="002060"/>
          </w14:solidFill>
        </w14:textFill>
      </w:rPr>
      <w:instrText xml:space="preserve"> PAGE </w:instrText>
    </w:r>
    <w:r>
      <w:rPr>
        <w:outline w:val="0"/>
        <w:color w:val="002060"/>
        <w:u w:color="002060"/>
        <w:rtl w:val="0"/>
        <w14:textFill>
          <w14:solidFill>
            <w14:srgbClr w14:val="002060"/>
          </w14:solidFill>
        </w14:textFill>
      </w:rPr>
      <w:fldChar w:fldCharType="separate" w:fldLock="0"/>
    </w:r>
    <w:r>
      <w:rPr>
        <w:outline w:val="0"/>
        <w:color w:val="002060"/>
        <w:u w:color="002060"/>
        <w:rtl w:val="0"/>
        <w14:textFill>
          <w14:solidFill>
            <w14:srgbClr w14:val="002060"/>
          </w14:solidFill>
        </w14:textFill>
      </w:rPr>
      <w:t>1</w:t>
    </w:r>
    <w:r>
      <w:rPr>
        <w:outline w:val="0"/>
        <w:color w:val="002060"/>
        <w:u w:color="002060"/>
        <w:rtl w:val="0"/>
        <w14:textFill>
          <w14:solidFill>
            <w14:srgbClr w14:val="002060"/>
          </w14:solidFill>
        </w14:textFill>
      </w:rPr>
      <w:fldChar w:fldCharType="end" w:fldLock="0"/>
    </w:r>
    <w:r>
      <w:rPr>
        <w:outline w:val="0"/>
        <w:color w:val="1f497d"/>
        <w:u w:color="1f497d"/>
        <w14:textFill>
          <w14:solidFill>
            <w14:srgbClr w14:val="1F497D"/>
          </w14:solidFill>
        </w14:textFill>
      </w:rPr>
      <w:tab/>
      <w:tab/>
      <w:tab/>
      <w:tab/>
      <w:tab/>
      <w:tab/>
      <w:tab/>
    </w:r>
    <w:r>
      <w:rPr>
        <w:outline w:val="0"/>
        <w:color w:val="002060"/>
        <w:u w:color="002060"/>
        <w:rtl w:val="0"/>
        <w:lang w:val="en-US"/>
        <w14:textFill>
          <w14:solidFill>
            <w14:srgbClr w14:val="002060"/>
          </w14:solidFill>
        </w14:textFill>
      </w:rPr>
      <w:t>July 2018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anchor distT="152400" distB="152400" distL="152400" distR="152400" simplePos="0" relativeHeight="251658240" behindDoc="1" locked="0" layoutInCell="1" allowOverlap="1">
          <wp:simplePos x="0" y="0"/>
          <wp:positionH relativeFrom="page">
            <wp:posOffset>561975</wp:posOffset>
          </wp:positionH>
          <wp:positionV relativeFrom="page">
            <wp:posOffset>209550</wp:posOffset>
          </wp:positionV>
          <wp:extent cx="559435" cy="515620"/>
          <wp:effectExtent l="60544" t="67481" r="60544" b="67481"/>
          <wp:wrapNone/>
          <wp:docPr id="1073741825" name="officeArt object" descr="C:\Users\bmorgan\AppData\Local\Microsoft\Windows\Temporary Internet Files\Content.Outlook\JBTXFY5G\dptseal.jpg"/>
          <wp:cNvGraphicFramePr/>
          <a:graphic xmlns:a="http://schemas.openxmlformats.org/drawingml/2006/main">
            <a:graphicData uri="http://schemas.openxmlformats.org/drawingml/2006/picture">
              <pic:pic xmlns:pic="http://schemas.openxmlformats.org/drawingml/2006/picture">
                <pic:nvPicPr>
                  <pic:cNvPr id="1073741825" name="C:\Users\bmorgan\AppData\Local\Microsoft\Windows\Temporary Internet Files\Content.Outlook\JBTXFY5G\dptseal.jpg" descr="C:\Users\bmorgan\AppData\Local\Microsoft\Windows\Temporary Internet Files\Content.Outlook\JBTXFY5G\dptseal.jpg"/>
                  <pic:cNvPicPr>
                    <a:picLocks noChangeAspect="1"/>
                  </pic:cNvPicPr>
                </pic:nvPicPr>
                <pic:blipFill>
                  <a:blip r:embed="rId1">
                    <a:extLst/>
                  </a:blip>
                  <a:stretch>
                    <a:fillRect/>
                  </a:stretch>
                </pic:blipFill>
                <pic:spPr>
                  <a:xfrm rot="20633599">
                    <a:off x="0" y="0"/>
                    <a:ext cx="559435" cy="51562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Colorful List - Accent 1">
    <w:name w:val="Colorful List - Accent 1"/>
    <w:next w:val="Colorful List - Accent 1"/>
    <w:pPr>
      <w:keepNext w:val="0"/>
      <w:keepLines w:val="0"/>
      <w:pageBreakBefore w:val="0"/>
      <w:widowControl w:val="1"/>
      <w:shd w:val="clear" w:color="auto" w:fill="auto"/>
      <w:suppressAutoHyphens w:val="0"/>
      <w:bidi w:val="0"/>
      <w:spacing w:before="0" w:after="0" w:line="276" w:lineRule="auto"/>
      <w:ind w:left="720" w:right="0" w:firstLine="0"/>
      <w:jc w:val="left"/>
      <w:outlineLvl w:val="9"/>
    </w:pPr>
    <w:rPr>
      <w:rFonts w:ascii="Franklin Gothic Book" w:cs="Franklin Gothic Book" w:hAnsi="Franklin Gothic Book" w:eastAsia="Franklin Gothic Book"/>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