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April 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Diana Campbell, Acting Chairperson; and Brian Bradshaw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 Erin Schofield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6:46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April 2, 2018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Diana C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6:46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