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March 6,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Oliver Administration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Bradshaw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Chairperson;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C. Bento and Sheila O. Ellsworth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Victor Cabr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Marjorie McBride,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John Saviano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(arrived at 6:25 p.m.)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Erin Schofield,  George Simmons, Facilities Director; and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Mario Andrade, Superintendent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Guests:  Steve Contente, Bristol Town Administrator and Diane Williamson, Bristol Director of Community Development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28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B.. called the meeting to order at 5:38 p.m.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DISCUSSION/ACTION ITEM: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MHHS Field Project - Phase 3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B. stated that the purpose for tonight’s meeting is to look for solutions concerning the hammerthrow cage.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George S. reported that he met with PARE Engineering.  He mentioned the possibility of moving the hammerthrow cage to behind the softball field.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commented that the School Committee has been known to go out to bid with alternates. 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Victor C. stated that he would suggest moving the hammerthrow cage behind the softball field.  Steve C. and Diane W. mentioned additional space on Naomi Street as a possible location for the hammerthrow cage.  They also suggested seeking grant funding.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Sheila E. shared an incident that took place in Portsmouth involving their hammerthrow cage.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B. made a motion to charge the administration to go out to bid for Phase III with the following alternates:  softball field only; softball field and hammerthrow; hammerthrow only; just mitigation; seconded by Sheila E.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discussion ensued.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Administration will set up meeting with Dartmouth Street and Naomi Street neighbors about possible hammerthrow cage relocation.  They will also speak to the Portsmouth High School about liabilities of hammerthrow.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April 15,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6:29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p.m.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John B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Sheila E. seconded..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March 6, 2019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