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Description w:val="Page Layout"/>
      </w:tblPr>
      <w:tblGrid>
        <w:gridCol w:w="4771"/>
        <w:gridCol w:w="4544"/>
        <w:gridCol w:w="45"/>
      </w:tblGrid>
      <w:tr w:rsidR="006347EF" w:rsidRPr="006347EF" w:rsidTr="006347EF">
        <w:trPr>
          <w:gridAfter w:val="1"/>
          <w:tblCellSpacing w:w="15" w:type="dxa"/>
        </w:trPr>
        <w:tc>
          <w:tcPr>
            <w:tcW w:w="7680" w:type="dxa"/>
            <w:hideMark/>
          </w:tcPr>
          <w:p w:rsidR="006347EF" w:rsidRPr="006347EF" w:rsidRDefault="006347EF" w:rsidP="006347EF">
            <w:pPr>
              <w:spacing w:after="0" w:line="240" w:lineRule="auto"/>
              <w:jc w:val="center"/>
              <w:rPr>
                <w:rFonts w:ascii="Arial" w:eastAsia="Times New Roman" w:hAnsi="Arial" w:cs="Arial"/>
                <w:b/>
                <w:bCs/>
                <w:sz w:val="24"/>
                <w:szCs w:val="24"/>
              </w:rPr>
            </w:pPr>
            <w:r w:rsidRPr="006347EF">
              <w:rPr>
                <w:rFonts w:ascii="Arial" w:eastAsia="Times New Roman" w:hAnsi="Arial" w:cs="Arial"/>
                <w:b/>
                <w:bCs/>
                <w:sz w:val="24"/>
                <w:szCs w:val="24"/>
              </w:rPr>
              <w:t>Texas Education Agency</w:t>
            </w:r>
          </w:p>
        </w:tc>
        <w:tc>
          <w:tcPr>
            <w:tcW w:w="7680" w:type="dxa"/>
            <w:hideMark/>
          </w:tcPr>
          <w:p w:rsidR="006347EF" w:rsidRPr="006347EF" w:rsidRDefault="006347EF" w:rsidP="006347EF">
            <w:pPr>
              <w:spacing w:after="0" w:line="240" w:lineRule="auto"/>
              <w:jc w:val="right"/>
              <w:rPr>
                <w:rFonts w:ascii="Arial" w:eastAsia="Times New Roman" w:hAnsi="Arial" w:cs="Arial"/>
                <w:b/>
                <w:bCs/>
                <w:sz w:val="24"/>
                <w:szCs w:val="24"/>
              </w:rPr>
            </w:pPr>
            <w:hyperlink r:id="rId4" w:history="1">
              <w:r w:rsidRPr="006347EF">
                <w:rPr>
                  <w:rFonts w:ascii="Arial" w:eastAsia="Times New Roman" w:hAnsi="Arial" w:cs="Arial"/>
                  <w:b/>
                  <w:bCs/>
                  <w:color w:val="0000FF"/>
                  <w:sz w:val="24"/>
                  <w:szCs w:val="24"/>
                  <w:u w:val="single"/>
                </w:rPr>
                <w:t>Print this report</w:t>
              </w:r>
            </w:hyperlink>
          </w:p>
        </w:tc>
      </w:tr>
      <w:tr w:rsidR="006347EF" w:rsidRPr="006347EF" w:rsidTr="006347EF">
        <w:trPr>
          <w:tblCellSpacing w:w="15" w:type="dxa"/>
        </w:trPr>
        <w:tc>
          <w:tcPr>
            <w:tcW w:w="0" w:type="auto"/>
            <w:gridSpan w:val="3"/>
            <w:hideMark/>
          </w:tcPr>
          <w:p w:rsidR="006347EF" w:rsidRPr="006347EF" w:rsidRDefault="006347EF" w:rsidP="006347EF">
            <w:pPr>
              <w:spacing w:after="0" w:line="240" w:lineRule="auto"/>
              <w:jc w:val="center"/>
              <w:rPr>
                <w:rFonts w:ascii="Arial" w:eastAsia="Times New Roman" w:hAnsi="Arial" w:cs="Arial"/>
                <w:b/>
                <w:bCs/>
                <w:sz w:val="24"/>
                <w:szCs w:val="24"/>
              </w:rPr>
            </w:pPr>
            <w:r w:rsidRPr="006347EF">
              <w:rPr>
                <w:rFonts w:ascii="Arial" w:eastAsia="Times New Roman" w:hAnsi="Arial" w:cs="Arial"/>
                <w:b/>
                <w:bCs/>
                <w:sz w:val="24"/>
                <w:szCs w:val="24"/>
              </w:rPr>
              <w:t>2017-18 Federal Report Card for Texas Public Schools</w:t>
            </w:r>
          </w:p>
        </w:tc>
      </w:tr>
      <w:tr w:rsidR="006347EF" w:rsidRPr="006347EF" w:rsidTr="006347EF">
        <w:trPr>
          <w:tblCellSpacing w:w="15" w:type="dxa"/>
        </w:trPr>
        <w:tc>
          <w:tcPr>
            <w:tcW w:w="0" w:type="auto"/>
            <w:gridSpan w:val="3"/>
            <w:hideMark/>
          </w:tcPr>
          <w:p w:rsidR="006347EF" w:rsidRPr="006347EF" w:rsidRDefault="006347EF" w:rsidP="006347EF">
            <w:pPr>
              <w:spacing w:after="0" w:line="240" w:lineRule="auto"/>
              <w:jc w:val="center"/>
              <w:rPr>
                <w:rFonts w:ascii="Arial" w:eastAsia="Times New Roman" w:hAnsi="Arial" w:cs="Arial"/>
                <w:sz w:val="20"/>
                <w:szCs w:val="20"/>
              </w:rPr>
            </w:pPr>
            <w:r w:rsidRPr="006347EF">
              <w:rPr>
                <w:rFonts w:ascii="Arial" w:eastAsia="Times New Roman" w:hAnsi="Arial" w:cs="Arial"/>
                <w:b/>
                <w:bCs/>
                <w:sz w:val="20"/>
                <w:szCs w:val="20"/>
              </w:rPr>
              <w:t>District Name:</w:t>
            </w:r>
            <w:r w:rsidRPr="006347EF">
              <w:rPr>
                <w:rFonts w:ascii="Arial" w:eastAsia="Times New Roman" w:hAnsi="Arial" w:cs="Arial"/>
                <w:sz w:val="20"/>
                <w:szCs w:val="20"/>
              </w:rPr>
              <w:t> BIG SPRING ISD</w:t>
            </w:r>
          </w:p>
        </w:tc>
      </w:tr>
      <w:tr w:rsidR="006347EF" w:rsidRPr="006347EF" w:rsidTr="006347EF">
        <w:trPr>
          <w:tblCellSpacing w:w="15" w:type="dxa"/>
        </w:trPr>
        <w:tc>
          <w:tcPr>
            <w:tcW w:w="0" w:type="auto"/>
            <w:gridSpan w:val="3"/>
            <w:hideMark/>
          </w:tcPr>
          <w:p w:rsidR="006347EF" w:rsidRPr="006347EF" w:rsidRDefault="006347EF" w:rsidP="006347EF">
            <w:pPr>
              <w:spacing w:after="0" w:line="240" w:lineRule="auto"/>
              <w:jc w:val="center"/>
              <w:rPr>
                <w:rFonts w:ascii="Arial" w:eastAsia="Times New Roman" w:hAnsi="Arial" w:cs="Arial"/>
                <w:sz w:val="20"/>
                <w:szCs w:val="20"/>
              </w:rPr>
            </w:pPr>
            <w:r w:rsidRPr="006347EF">
              <w:rPr>
                <w:rFonts w:ascii="Arial" w:eastAsia="Times New Roman" w:hAnsi="Arial" w:cs="Arial"/>
                <w:b/>
                <w:bCs/>
                <w:sz w:val="20"/>
                <w:szCs w:val="20"/>
              </w:rPr>
              <w:t>District ID:</w:t>
            </w:r>
            <w:r w:rsidRPr="006347EF">
              <w:rPr>
                <w:rFonts w:ascii="Arial" w:eastAsia="Times New Roman" w:hAnsi="Arial" w:cs="Arial"/>
                <w:sz w:val="20"/>
                <w:szCs w:val="20"/>
              </w:rPr>
              <w:t> 114901</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r w:rsidRPr="006347EF">
              <w:rPr>
                <w:rFonts w:ascii="Arial" w:eastAsia="Times New Roman" w:hAnsi="Arial" w:cs="Arial"/>
                <w:b/>
                <w:bCs/>
                <w:color w:val="FFFFFF"/>
                <w:sz w:val="18"/>
                <w:szCs w:val="18"/>
              </w:rPr>
              <w:t>Part (i): </w:t>
            </w:r>
            <w:r w:rsidRPr="006347EF">
              <w:rPr>
                <w:rFonts w:ascii="Arial" w:eastAsia="Times New Roman" w:hAnsi="Arial" w:cs="Arial"/>
                <w:color w:val="FFFFFF"/>
                <w:sz w:val="18"/>
                <w:szCs w:val="18"/>
              </w:rPr>
              <w:t>General Description of the Texas State Accountability System Under Subsection (c)</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Part (i)(I) the minimum number of students that the State determines are necessary to be included in each of the subgroups of students, as defined in subsection (c)(2), for use in the accountability system;</w:t>
            </w:r>
            <w:r w:rsidRPr="006347EF">
              <w:rPr>
                <w:rFonts w:ascii="Arial" w:eastAsia="Times New Roman" w:hAnsi="Arial" w:cs="Arial"/>
                <w:sz w:val="18"/>
                <w:szCs w:val="18"/>
              </w:rPr>
              <w:br/>
              <w:t>The Texas accountability minimum size criteria are 25 tests for assessments related indicators or 25 students for non-assessment related indicators, such as graduation, for any student group, and 10 tests or students for All student group.</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Part (i)(II) the long-term goals and measurements of interim progress for all students and for each of the subgroups of students, as defined in subsection (c)(2);</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1009"/>
        <w:gridCol w:w="973"/>
        <w:gridCol w:w="637"/>
        <w:gridCol w:w="710"/>
        <w:gridCol w:w="755"/>
        <w:gridCol w:w="692"/>
        <w:gridCol w:w="455"/>
        <w:gridCol w:w="755"/>
        <w:gridCol w:w="456"/>
        <w:gridCol w:w="637"/>
        <w:gridCol w:w="492"/>
        <w:gridCol w:w="546"/>
        <w:gridCol w:w="583"/>
        <w:gridCol w:w="654"/>
      </w:tblGrid>
      <w:tr w:rsidR="006347EF" w:rsidRPr="006347EF" w:rsidTr="006347EF">
        <w:trPr>
          <w:tblHeader/>
          <w:tblCellSpacing w:w="0" w:type="dxa"/>
          <w:jc w:val="center"/>
        </w:trPr>
        <w:tc>
          <w:tcPr>
            <w:tcW w:w="2880" w:type="dxa"/>
            <w:gridSpan w:val="3"/>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bookmarkStart w:id="0" w:name="IDX1"/>
            <w:bookmarkEnd w:id="0"/>
            <w:r w:rsidRPr="006347EF">
              <w:rPr>
                <w:rFonts w:ascii="Arial" w:eastAsia="Times New Roman" w:hAnsi="Arial" w:cs="Arial"/>
                <w:b/>
                <w:bCs/>
                <w:sz w:val="18"/>
                <w:szCs w:val="18"/>
              </w:rPr>
              <w:t> </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All</w:t>
            </w:r>
            <w:r w:rsidRPr="006347EF">
              <w:rPr>
                <w:rFonts w:ascii="Arial" w:eastAsia="Times New Roman" w:hAnsi="Arial" w:cs="Arial"/>
                <w:b/>
                <w:bCs/>
                <w:sz w:val="18"/>
                <w:szCs w:val="18"/>
              </w:rPr>
              <w:br/>
              <w:t>Students</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African</w:t>
            </w:r>
            <w:r w:rsidRPr="006347EF">
              <w:rPr>
                <w:rFonts w:ascii="Arial" w:eastAsia="Times New Roman" w:hAnsi="Arial" w:cs="Arial"/>
                <w:b/>
                <w:bCs/>
                <w:sz w:val="18"/>
                <w:szCs w:val="18"/>
              </w:rPr>
              <w:br/>
              <w:t>American</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Hispanic</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White</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American</w:t>
            </w:r>
            <w:r w:rsidRPr="006347EF">
              <w:rPr>
                <w:rFonts w:ascii="Arial" w:eastAsia="Times New Roman" w:hAnsi="Arial" w:cs="Arial"/>
                <w:b/>
                <w:bCs/>
                <w:sz w:val="18"/>
                <w:szCs w:val="18"/>
              </w:rPr>
              <w:br/>
              <w:t>Indian</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Asian</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Pacific</w:t>
            </w:r>
            <w:r w:rsidRPr="006347EF">
              <w:rPr>
                <w:rFonts w:ascii="Arial" w:eastAsia="Times New Roman" w:hAnsi="Arial" w:cs="Arial"/>
                <w:b/>
                <w:bCs/>
                <w:sz w:val="18"/>
                <w:szCs w:val="18"/>
              </w:rPr>
              <w:br/>
              <w:t>Islander</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Two or More</w:t>
            </w:r>
            <w:r w:rsidRPr="006347EF">
              <w:rPr>
                <w:rFonts w:ascii="Arial" w:eastAsia="Times New Roman" w:hAnsi="Arial" w:cs="Arial"/>
                <w:b/>
                <w:bCs/>
                <w:sz w:val="18"/>
                <w:szCs w:val="18"/>
              </w:rPr>
              <w:br/>
              <w:t>Races</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Econ</w:t>
            </w:r>
            <w:r w:rsidRPr="006347EF">
              <w:rPr>
                <w:rFonts w:ascii="Arial" w:eastAsia="Times New Roman" w:hAnsi="Arial" w:cs="Arial"/>
                <w:b/>
                <w:bCs/>
                <w:sz w:val="18"/>
                <w:szCs w:val="18"/>
              </w:rPr>
              <w:br/>
              <w:t>Disadv</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Special</w:t>
            </w:r>
            <w:r w:rsidRPr="006347EF">
              <w:rPr>
                <w:rFonts w:ascii="Arial" w:eastAsia="Times New Roman" w:hAnsi="Arial" w:cs="Arial"/>
                <w:b/>
                <w:bCs/>
                <w:sz w:val="18"/>
                <w:szCs w:val="18"/>
              </w:rPr>
              <w:br/>
              <w:t>Educ</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EL</w:t>
            </w:r>
            <w:r w:rsidRPr="006347EF">
              <w:rPr>
                <w:rFonts w:ascii="Arial" w:eastAsia="Times New Roman" w:hAnsi="Arial" w:cs="Arial"/>
                <w:b/>
                <w:bCs/>
                <w:sz w:val="18"/>
                <w:szCs w:val="18"/>
              </w:rPr>
              <w:br/>
              <w:t>(Current</w:t>
            </w:r>
            <w:r w:rsidRPr="006347EF">
              <w:rPr>
                <w:rFonts w:ascii="Arial" w:eastAsia="Times New Roman" w:hAnsi="Arial" w:cs="Arial"/>
                <w:b/>
                <w:bCs/>
                <w:sz w:val="18"/>
                <w:szCs w:val="18"/>
              </w:rPr>
              <w:br/>
              <w:t>and</w:t>
            </w:r>
            <w:r w:rsidRPr="006347EF">
              <w:rPr>
                <w:rFonts w:ascii="Arial" w:eastAsia="Times New Roman" w:hAnsi="Arial" w:cs="Arial"/>
                <w:b/>
                <w:bCs/>
                <w:sz w:val="18"/>
                <w:szCs w:val="18"/>
              </w:rPr>
              <w:br/>
              <w:t>Former)</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Academic Performance (At Meets Grade Level or Above)</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Reading/ELA</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Baseline 2016-17 Rates</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2017-18 through 2021-22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2022-23 through 2026-27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2027-28 through 2031-32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2032-33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Mathematics</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Baseline 2016-17 Rates</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2017-18 through 2021-22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xml:space="preserve">2022-23 through </w:t>
            </w:r>
            <w:r w:rsidRPr="006347EF">
              <w:rPr>
                <w:rFonts w:ascii="Arial" w:eastAsia="Times New Roman" w:hAnsi="Arial" w:cs="Arial"/>
                <w:sz w:val="18"/>
                <w:szCs w:val="18"/>
              </w:rPr>
              <w:lastRenderedPageBreak/>
              <w:t>2026-27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lastRenderedPageBreak/>
              <w:t>54%</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2027-28 through 2031-32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r>
      <w:tr w:rsidR="006347EF" w:rsidRPr="006347EF" w:rsidTr="006347EF">
        <w:trPr>
          <w:tblCellSpacing w:w="0" w:type="dxa"/>
          <w:jc w:val="center"/>
        </w:trPr>
        <w:tc>
          <w:tcPr>
            <w:tcW w:w="5040"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2032-33</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91%</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EL Progress</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Baseline 2016-17 Rates</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2017-18 through 2021-22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2022-23 through 2026-27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r>
      <w:tr w:rsidR="006347EF" w:rsidRPr="006347EF" w:rsidTr="006347EF">
        <w:trPr>
          <w:tblCellSpacing w:w="0" w:type="dxa"/>
          <w:jc w:val="center"/>
        </w:trPr>
        <w:tc>
          <w:tcPr>
            <w:tcW w:w="5040"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2027-28 through 2031-32</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Graduation Rate:4-Year Longitudinal Rate</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Baseline 2016-17 Rates</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89%</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93%</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95%</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89%</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2017-18 through 2021-22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r>
      <w:tr w:rsidR="006347EF" w:rsidRPr="006347EF" w:rsidTr="006347EF">
        <w:trPr>
          <w:tblCellSpacing w:w="0" w:type="dxa"/>
          <w:jc w:val="center"/>
        </w:trPr>
        <w:tc>
          <w:tcPr>
            <w:tcW w:w="50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2022-23 through 2026-27</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21"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r>
      <w:tr w:rsidR="006347EF" w:rsidRPr="006347EF" w:rsidTr="006347EF">
        <w:trPr>
          <w:tblCellSpacing w:w="0" w:type="dxa"/>
          <w:jc w:val="center"/>
        </w:trPr>
        <w:tc>
          <w:tcPr>
            <w:tcW w:w="5040"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1440"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2027-28 through 2031-32</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21" w:type="dxa"/>
            <w:tcBorders>
              <w:top w:val="outset" w:sz="2" w:space="0" w:color="000000"/>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bookmarkStart w:id="1" w:name="IDX2"/>
            <w:bookmarkEnd w:id="1"/>
            <w:r w:rsidRPr="006347EF">
              <w:rPr>
                <w:rFonts w:ascii="Arial" w:eastAsia="Times New Roman" w:hAnsi="Arial" w:cs="Arial"/>
                <w:sz w:val="18"/>
                <w:szCs w:val="18"/>
              </w:rPr>
              <w:br/>
              <w:t>Part (i)(III) the indicators described in subsection (c)(4)(B) used to meaningfully differentiate all public schools in the State;</w:t>
            </w:r>
            <w:r w:rsidRPr="006347EF">
              <w:rPr>
                <w:rFonts w:ascii="Arial" w:eastAsia="Times New Roman" w:hAnsi="Arial" w:cs="Arial"/>
                <w:sz w:val="18"/>
                <w:szCs w:val="18"/>
              </w:rPr>
              <w:br/>
              <w:t>a. Academic Achievement Indicator: STAAR Performance Status (Percent at or above Meets Grade Level)</w:t>
            </w:r>
            <w:r w:rsidRPr="006347EF">
              <w:rPr>
                <w:rFonts w:ascii="Arial" w:eastAsia="Times New Roman" w:hAnsi="Arial" w:cs="Arial"/>
                <w:sz w:val="18"/>
                <w:szCs w:val="18"/>
              </w:rPr>
              <w:br/>
              <w:t>b. Other Academic Indicator for Non-High Schools: STAAR Growth Status</w:t>
            </w:r>
            <w:r w:rsidRPr="006347EF">
              <w:rPr>
                <w:rFonts w:ascii="Arial" w:eastAsia="Times New Roman" w:hAnsi="Arial" w:cs="Arial"/>
                <w:sz w:val="18"/>
                <w:szCs w:val="18"/>
              </w:rPr>
              <w:br/>
            </w:r>
            <w:r w:rsidRPr="006347EF">
              <w:rPr>
                <w:rFonts w:ascii="Arial" w:eastAsia="Times New Roman" w:hAnsi="Arial" w:cs="Arial"/>
                <w:sz w:val="18"/>
                <w:szCs w:val="18"/>
              </w:rPr>
              <w:lastRenderedPageBreak/>
              <w:t>c. Graduation Rate: Federal Graduation Status</w:t>
            </w:r>
            <w:r w:rsidRPr="006347EF">
              <w:rPr>
                <w:rFonts w:ascii="Arial" w:eastAsia="Times New Roman" w:hAnsi="Arial" w:cs="Arial"/>
                <w:sz w:val="18"/>
                <w:szCs w:val="18"/>
              </w:rPr>
              <w:br/>
              <w:t>d. ELP Indicator: English Learner Language Proficiency Status</w:t>
            </w:r>
            <w:r w:rsidRPr="006347EF">
              <w:rPr>
                <w:rFonts w:ascii="Arial" w:eastAsia="Times New Roman" w:hAnsi="Arial" w:cs="Arial"/>
                <w:sz w:val="18"/>
                <w:szCs w:val="18"/>
              </w:rPr>
              <w:br/>
              <w:t>e. School Quality or Student Success (SQSS) Indicators: College, Career, and Military Readiness for High Schools and K-12; Student Achievement Domain Score: STAAR only for All Other Schools without Annual Graduates</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br/>
              <w:t>Part (i)(IV) the State's system for meaningfully differentiating all public schools in the State, including:</w:t>
            </w:r>
            <w:r w:rsidRPr="006347EF">
              <w:rPr>
                <w:rFonts w:ascii="Arial" w:eastAsia="Times New Roman" w:hAnsi="Arial" w:cs="Arial"/>
                <w:sz w:val="18"/>
                <w:szCs w:val="18"/>
              </w:rPr>
              <w:br/>
              <w:t>(aa) the specific weight of the indicators described in subsection (c)(4)(B) in such differentiation;</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2691"/>
        <w:gridCol w:w="4003"/>
        <w:gridCol w:w="2660"/>
      </w:tblGrid>
      <w:tr w:rsidR="006347EF" w:rsidRPr="006347EF" w:rsidTr="006347EF">
        <w:trPr>
          <w:tblHeader/>
          <w:tblCellSpacing w:w="0" w:type="dxa"/>
          <w:jc w:val="center"/>
        </w:trPr>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bookmarkStart w:id="2" w:name="IDX3"/>
            <w:bookmarkEnd w:id="2"/>
            <w:r w:rsidRPr="006347EF">
              <w:rPr>
                <w:rFonts w:ascii="Arial" w:eastAsia="Times New Roman" w:hAnsi="Arial" w:cs="Arial"/>
                <w:b/>
                <w:bCs/>
                <w:sz w:val="18"/>
                <w:szCs w:val="18"/>
              </w:rPr>
              <w:t>Campus Type</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Indicator</w:t>
            </w:r>
          </w:p>
        </w:tc>
        <w:tc>
          <w:tcPr>
            <w:tcW w:w="0" w:type="auto"/>
            <w:tcBorders>
              <w:top w:val="outset" w:sz="2" w:space="0" w:color="C1C1C1"/>
              <w:left w:val="outset" w:sz="2" w:space="0" w:color="C1C1C1"/>
              <w:bottom w:val="outset" w:sz="6" w:space="0" w:color="000000"/>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Weight</w:t>
            </w:r>
          </w:p>
        </w:tc>
      </w:tr>
      <w:tr w:rsidR="006347EF" w:rsidRPr="006347EF" w:rsidTr="006347EF">
        <w:trPr>
          <w:tblCellSpacing w:w="0" w:type="dxa"/>
          <w:jc w:val="center"/>
        </w:trPr>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Elementary and Middle Schools</w:t>
            </w:r>
          </w:p>
        </w:tc>
        <w:tc>
          <w:tcPr>
            <w:tcW w:w="432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Academic Achievement</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r>
      <w:tr w:rsidR="006347EF" w:rsidRPr="006347EF" w:rsidTr="006347EF">
        <w:trPr>
          <w:tblCellSpacing w:w="0" w:type="dxa"/>
          <w:jc w:val="center"/>
        </w:trPr>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432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Other Academic Indicator</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r>
      <w:tr w:rsidR="006347EF" w:rsidRPr="006347EF" w:rsidTr="006347EF">
        <w:trPr>
          <w:tblCellSpacing w:w="0" w:type="dxa"/>
          <w:jc w:val="center"/>
        </w:trPr>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432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English Learner Language proficiency</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r>
      <w:tr w:rsidR="006347EF" w:rsidRPr="006347EF" w:rsidTr="006347EF">
        <w:trPr>
          <w:tblCellSpacing w:w="0" w:type="dxa"/>
          <w:jc w:val="center"/>
        </w:trPr>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432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SQSS: Student Achievement Domain Score</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r>
      <w:tr w:rsidR="006347EF" w:rsidRPr="006347EF" w:rsidTr="006347EF">
        <w:trPr>
          <w:tblCellSpacing w:w="0" w:type="dxa"/>
          <w:jc w:val="center"/>
        </w:trPr>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High Schools and K-12</w:t>
            </w:r>
          </w:p>
        </w:tc>
        <w:tc>
          <w:tcPr>
            <w:tcW w:w="432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Academic Achievement</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r>
      <w:tr w:rsidR="006347EF" w:rsidRPr="006347EF" w:rsidTr="006347EF">
        <w:trPr>
          <w:tblCellSpacing w:w="0" w:type="dxa"/>
          <w:jc w:val="center"/>
        </w:trPr>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432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4-Year Graduation Rate</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r>
      <w:tr w:rsidR="006347EF" w:rsidRPr="006347EF" w:rsidTr="006347EF">
        <w:trPr>
          <w:tblCellSpacing w:w="0" w:type="dxa"/>
          <w:jc w:val="center"/>
        </w:trPr>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432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English Learner Language proficiency</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r>
      <w:tr w:rsidR="006347EF" w:rsidRPr="006347EF" w:rsidTr="006347EF">
        <w:trPr>
          <w:tblCellSpacing w:w="0" w:type="dxa"/>
          <w:jc w:val="center"/>
        </w:trPr>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432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SQSS: College, Career, and Military Readiness</w:t>
            </w:r>
          </w:p>
        </w:tc>
        <w:tc>
          <w:tcPr>
            <w:tcW w:w="2880" w:type="dxa"/>
            <w:tcBorders>
              <w:top w:val="outset" w:sz="6" w:space="0" w:color="C1C1C1"/>
              <w:left w:val="outset" w:sz="2" w:space="0" w:color="C1C1C1"/>
              <w:bottom w:val="outset" w:sz="2" w:space="0" w:color="C1C1C1"/>
              <w:right w:val="outset" w:sz="2" w:space="0" w:color="C1C1C1"/>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bookmarkStart w:id="3" w:name="IDX4"/>
            <w:bookmarkEnd w:id="3"/>
            <w:r w:rsidRPr="006347EF">
              <w:rPr>
                <w:rFonts w:ascii="Arial" w:eastAsia="Times New Roman" w:hAnsi="Arial" w:cs="Arial"/>
                <w:sz w:val="18"/>
                <w:szCs w:val="18"/>
              </w:rPr>
              <w:t>(bb) the methodology by which the State differentiates all such schools;</w:t>
            </w:r>
            <w:r w:rsidRPr="006347EF">
              <w:rPr>
                <w:rFonts w:ascii="Arial" w:eastAsia="Times New Roman" w:hAnsi="Arial" w:cs="Arial"/>
                <w:sz w:val="18"/>
                <w:szCs w:val="18"/>
              </w:rPr>
              <w:br/>
              <w:t>A weighted average of the accountability indicators will be computed from the number of items meeting targets divided by the number of items evaluated. The weighted average will be scaled to grades A (90-100), B (80-89), C (70-79), D (60-69), and F (0-59) and further used to differentiate all public schools.</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(cc) the methodology by which the State differentiates a school as consistently underperforming for any subgroup of students described in section (c)(4)(C)(iii), including the time period used by the State to determine consistent underperformance;</w:t>
            </w:r>
            <w:r w:rsidRPr="006347EF">
              <w:rPr>
                <w:rFonts w:ascii="Arial" w:eastAsia="Times New Roman" w:hAnsi="Arial" w:cs="Arial"/>
                <w:sz w:val="18"/>
                <w:szCs w:val="18"/>
              </w:rPr>
              <w:br/>
              <w:t>Student group achievement is monitored annually through the Closing the Gaps domain of the State accountability. Any campus that has one or more achievement gap(s) between individual student groups and the interim goals for three consecutive years will be identified as a consistently underperforming school.</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(dd) the methodology by which the State identifies a school for comprehensive support and improvement as required under subsection (c)(4)(D)(i);</w:t>
            </w:r>
            <w:r w:rsidRPr="006347EF">
              <w:rPr>
                <w:rFonts w:ascii="Arial" w:eastAsia="Times New Roman" w:hAnsi="Arial" w:cs="Arial"/>
                <w:sz w:val="18"/>
                <w:szCs w:val="18"/>
              </w:rPr>
              <w:br/>
              <w:t>The Closing the Gaps domain scaled score is used to identify schools for comprehensive support and improvement. TEA rank orders the scaled domain score for all campuses. The lowest five percent of campuses that receive Title I, Part A funds are identified for comprehensive support and improvement. Also, if a campus does not attain a 67 percent four-year graduation rate for the all students group, the campus is also automatically identified for comprehensive support and improvement. Additionally, any Title I campus identified for targeted support and improvement for three consecutive years is identified for comprehensive support and improvement the following school year.</w:t>
            </w:r>
            <w:r w:rsidRPr="006347EF">
              <w:rPr>
                <w:rFonts w:ascii="Arial" w:eastAsia="Times New Roman" w:hAnsi="Arial" w:cs="Arial"/>
                <w:sz w:val="18"/>
                <w:szCs w:val="18"/>
              </w:rPr>
              <w:br/>
              <w:t>TEA will annually identify campuses for comprehensive support and improvement beginning with the August 2018 accountability release, which is based on school year 2017-18 performance data.</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Part (i)(V) the number and names of all public schools in the State identified by the State for comprehensive support and improvement under subsection (c)(4)(D)(i) or implementing targeted support and improvement plans under subsection (d)(2);</w:t>
            </w:r>
            <w:r w:rsidRPr="006347EF">
              <w:rPr>
                <w:rFonts w:ascii="Arial" w:eastAsia="Times New Roman" w:hAnsi="Arial" w:cs="Arial"/>
                <w:sz w:val="18"/>
                <w:szCs w:val="18"/>
              </w:rPr>
              <w:br/>
            </w:r>
            <w:hyperlink r:id="rId5" w:history="1">
              <w:r w:rsidRPr="006347EF">
                <w:rPr>
                  <w:rFonts w:ascii="Arial" w:eastAsia="Times New Roman" w:hAnsi="Arial" w:cs="Arial"/>
                  <w:b/>
                  <w:bCs/>
                  <w:color w:val="0000FF"/>
                  <w:sz w:val="16"/>
                  <w:szCs w:val="16"/>
                  <w:u w:val="single"/>
                </w:rPr>
                <w:t>Comprehensive Support and Improvement Schools</w:t>
              </w:r>
            </w:hyperlink>
            <w:r w:rsidRPr="006347EF">
              <w:rPr>
                <w:rFonts w:ascii="Arial" w:eastAsia="Times New Roman" w:hAnsi="Arial" w:cs="Arial"/>
                <w:b/>
                <w:bCs/>
                <w:color w:val="0000FF"/>
                <w:sz w:val="16"/>
                <w:szCs w:val="16"/>
              </w:rPr>
              <w:t> </w:t>
            </w:r>
            <w:r w:rsidRPr="006347EF">
              <w:rPr>
                <w:rFonts w:ascii="Arial" w:eastAsia="Times New Roman" w:hAnsi="Arial" w:cs="Arial"/>
                <w:sz w:val="18"/>
                <w:szCs w:val="18"/>
              </w:rPr>
              <w:t>and </w:t>
            </w:r>
            <w:hyperlink r:id="rId6" w:history="1">
              <w:r w:rsidRPr="006347EF">
                <w:rPr>
                  <w:rFonts w:ascii="Arial" w:eastAsia="Times New Roman" w:hAnsi="Arial" w:cs="Arial"/>
                  <w:b/>
                  <w:bCs/>
                  <w:color w:val="0000FF"/>
                  <w:sz w:val="16"/>
                  <w:szCs w:val="16"/>
                  <w:u w:val="single"/>
                </w:rPr>
                <w:t>Additional Targeted Support Schools</w:t>
              </w:r>
            </w:hyperlink>
            <w:r w:rsidRPr="006347EF">
              <w:rPr>
                <w:rFonts w:ascii="Arial" w:eastAsia="Times New Roman" w:hAnsi="Arial" w:cs="Arial"/>
                <w:b/>
                <w:bCs/>
                <w:color w:val="0000FF"/>
                <w:sz w:val="16"/>
                <w:szCs w:val="16"/>
              </w:rPr>
              <w:t> </w:t>
            </w:r>
            <w:r w:rsidRPr="006347EF">
              <w:rPr>
                <w:rFonts w:ascii="Arial" w:eastAsia="Times New Roman" w:hAnsi="Arial" w:cs="Arial"/>
                <w:sz w:val="18"/>
                <w:szCs w:val="18"/>
              </w:rPr>
              <w:t>list those campuses that have been identified for comprehensive support and additional targeted support based on performance in the Closing the Gaps domain (Excel file).</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Part (i)(VI) the exit criteria established by the State as required under clause (i) of subsection (d)(3)(A), including the length of years established under clause (i)(II) of such subsection.</w:t>
            </w:r>
            <w:r w:rsidRPr="006347EF">
              <w:rPr>
                <w:rFonts w:ascii="Arial" w:eastAsia="Times New Roman" w:hAnsi="Arial" w:cs="Arial"/>
                <w:sz w:val="18"/>
                <w:szCs w:val="18"/>
              </w:rPr>
              <w:br/>
              <w:t>Campuses that do not rank in the bottom five percent of the Closing the Gaps domain for two consecutive years and have increased a letter grade (for example, from F to D or from D to C) on the Closing the Gaps domain will be considered as having successfully exited comprehensive support and improvement status.</w:t>
            </w:r>
            <w:r w:rsidRPr="006347EF">
              <w:rPr>
                <w:rFonts w:ascii="Arial" w:eastAsia="Times New Roman" w:hAnsi="Arial" w:cs="Arial"/>
                <w:sz w:val="18"/>
                <w:szCs w:val="18"/>
              </w:rPr>
              <w:br/>
              <w:t>To exit additional targeted support and improvement status, a student group must meet at least 50 percent of the indicators evaluated and meet the targets for the Academic Achievement component in both reading and mathematics.</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bookmarkStart w:id="4" w:name="IDX5"/>
            <w:bookmarkEnd w:id="4"/>
            <w:r w:rsidRPr="006347EF">
              <w:rPr>
                <w:rFonts w:ascii="Arial" w:eastAsia="Times New Roman" w:hAnsi="Arial" w:cs="Arial"/>
                <w:b/>
                <w:bCs/>
                <w:color w:val="FFFFFF"/>
                <w:sz w:val="18"/>
                <w:szCs w:val="18"/>
              </w:rPr>
              <w:t>Part (ii): </w:t>
            </w:r>
            <w:r w:rsidRPr="006347EF">
              <w:rPr>
                <w:rFonts w:ascii="Arial" w:eastAsia="Times New Roman" w:hAnsi="Arial" w:cs="Arial"/>
                <w:color w:val="FFFFFF"/>
                <w:sz w:val="18"/>
                <w:szCs w:val="18"/>
              </w:rPr>
              <w:t>Student Achievement by Proficiency Level</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 xml:space="preserve">This section provides information on student achievement on the STAAR (State of Texas Assessments of Academic Readiness) performance for mathematics, ELA/reading, and science by grade level and proficiency level for the </w:t>
            </w:r>
            <w:r w:rsidRPr="006347EF">
              <w:rPr>
                <w:rFonts w:ascii="Arial" w:eastAsia="Times New Roman" w:hAnsi="Arial" w:cs="Arial"/>
                <w:sz w:val="18"/>
                <w:szCs w:val="18"/>
              </w:rPr>
              <w:lastRenderedPageBreak/>
              <w:t>2017-18 school year. These results include all students tested, regardless of whether they were in the accountability subset.</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813"/>
        <w:gridCol w:w="475"/>
        <w:gridCol w:w="292"/>
        <w:gridCol w:w="392"/>
        <w:gridCol w:w="398"/>
        <w:gridCol w:w="517"/>
        <w:gridCol w:w="476"/>
        <w:gridCol w:w="321"/>
        <w:gridCol w:w="517"/>
        <w:gridCol w:w="321"/>
        <w:gridCol w:w="440"/>
        <w:gridCol w:w="345"/>
        <w:gridCol w:w="381"/>
        <w:gridCol w:w="381"/>
        <w:gridCol w:w="285"/>
        <w:gridCol w:w="368"/>
        <w:gridCol w:w="244"/>
        <w:gridCol w:w="268"/>
        <w:gridCol w:w="398"/>
        <w:gridCol w:w="416"/>
        <w:gridCol w:w="535"/>
        <w:gridCol w:w="357"/>
        <w:gridCol w:w="404"/>
      </w:tblGrid>
      <w:tr w:rsidR="006347EF" w:rsidRPr="006347EF" w:rsidTr="006347EF">
        <w:trPr>
          <w:tblHeader/>
          <w:tblCellSpacing w:w="0" w:type="dxa"/>
          <w:jc w:val="center"/>
        </w:trPr>
        <w:tc>
          <w:tcPr>
            <w:tcW w:w="1440" w:type="dxa"/>
            <w:gridSpan w:val="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bookmarkStart w:id="5" w:name="IDX6"/>
            <w:bookmarkEnd w:id="5"/>
            <w:r w:rsidRPr="006347EF">
              <w:rPr>
                <w:rFonts w:ascii="Arial" w:eastAsia="Times New Roman" w:hAnsi="Arial" w:cs="Arial"/>
                <w:b/>
                <w:bCs/>
                <w:sz w:val="18"/>
                <w:szCs w:val="18"/>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State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Region</w:t>
            </w:r>
            <w:r w:rsidRPr="006347EF">
              <w:rPr>
                <w:rFonts w:ascii="Arial" w:eastAsia="Times New Roman" w:hAnsi="Arial" w:cs="Arial"/>
                <w:b/>
                <w:bCs/>
                <w:sz w:val="18"/>
                <w:szCs w:val="18"/>
              </w:rPr>
              <w:br/>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District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African</w:t>
            </w:r>
            <w:r w:rsidRPr="006347EF">
              <w:rPr>
                <w:rFonts w:ascii="Arial" w:eastAsia="Times New Roman" w:hAnsi="Arial" w:cs="Arial"/>
                <w:b/>
                <w:bCs/>
                <w:sz w:val="18"/>
                <w:szCs w:val="18"/>
              </w:rPr>
              <w:br/>
              <w:t>American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Hispanic</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White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American</w:t>
            </w:r>
            <w:r w:rsidRPr="006347EF">
              <w:rPr>
                <w:rFonts w:ascii="Arial" w:eastAsia="Times New Roman" w:hAnsi="Arial" w:cs="Arial"/>
                <w:b/>
                <w:bCs/>
                <w:sz w:val="18"/>
                <w:szCs w:val="18"/>
              </w:rPr>
              <w:br/>
              <w:t>Indian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Asian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Pacific</w:t>
            </w:r>
            <w:r w:rsidRPr="006347EF">
              <w:rPr>
                <w:rFonts w:ascii="Arial" w:eastAsia="Times New Roman" w:hAnsi="Arial" w:cs="Arial"/>
                <w:b/>
                <w:bCs/>
                <w:sz w:val="18"/>
                <w:szCs w:val="18"/>
              </w:rPr>
              <w:br/>
              <w:t>Islander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Two or</w:t>
            </w:r>
            <w:r w:rsidRPr="006347EF">
              <w:rPr>
                <w:rFonts w:ascii="Arial" w:eastAsia="Times New Roman" w:hAnsi="Arial" w:cs="Arial"/>
                <w:b/>
                <w:bCs/>
                <w:sz w:val="18"/>
                <w:szCs w:val="18"/>
              </w:rPr>
              <w:br/>
              <w:t>More</w:t>
            </w:r>
            <w:r w:rsidRPr="006347EF">
              <w:rPr>
                <w:rFonts w:ascii="Arial" w:eastAsia="Times New Roman" w:hAnsi="Arial" w:cs="Arial"/>
                <w:b/>
                <w:bCs/>
                <w:sz w:val="18"/>
                <w:szCs w:val="18"/>
              </w:rPr>
              <w:br/>
              <w:t>Races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Econ</w:t>
            </w:r>
            <w:r w:rsidRPr="006347EF">
              <w:rPr>
                <w:rFonts w:ascii="Arial" w:eastAsia="Times New Roman" w:hAnsi="Arial" w:cs="Arial"/>
                <w:b/>
                <w:bCs/>
                <w:sz w:val="18"/>
                <w:szCs w:val="18"/>
              </w:rPr>
              <w:br/>
              <w:t>Disadv</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Non</w:t>
            </w:r>
            <w:r w:rsidRPr="006347EF">
              <w:rPr>
                <w:rFonts w:ascii="Arial" w:eastAsia="Times New Roman" w:hAnsi="Arial" w:cs="Arial"/>
                <w:b/>
                <w:bCs/>
                <w:sz w:val="18"/>
                <w:szCs w:val="18"/>
              </w:rPr>
              <w:br/>
              <w:t>Econ</w:t>
            </w:r>
            <w:r w:rsidRPr="006347EF">
              <w:rPr>
                <w:rFonts w:ascii="Arial" w:eastAsia="Times New Roman" w:hAnsi="Arial" w:cs="Arial"/>
                <w:b/>
                <w:bCs/>
                <w:sz w:val="18"/>
                <w:szCs w:val="18"/>
              </w:rPr>
              <w:br/>
              <w:t>Disadv</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CWD</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CWOD</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EL</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Male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Female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Migrant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Homeless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Foster</w:t>
            </w:r>
            <w:r w:rsidRPr="006347EF">
              <w:rPr>
                <w:rFonts w:ascii="Arial" w:eastAsia="Times New Roman" w:hAnsi="Arial" w:cs="Arial"/>
                <w:b/>
                <w:bCs/>
                <w:sz w:val="18"/>
                <w:szCs w:val="18"/>
              </w:rPr>
              <w:br/>
              <w:t>Care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Military</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r>
            <w:r w:rsidRPr="006347EF">
              <w:rPr>
                <w:rFonts w:ascii="Arial" w:eastAsia="Times New Roman" w:hAnsi="Arial" w:cs="Arial"/>
                <w:b/>
                <w:bCs/>
                <w:sz w:val="18"/>
                <w:szCs w:val="18"/>
                <w:shd w:val="clear" w:color="auto" w:fill="FF5757"/>
              </w:rPr>
              <w:t>STAAR Percent at Approaches Grade Level or Above</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5</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6</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7</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8</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End of Course</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English I</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English II</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Algebra I</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Biology</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r>
            <w:r w:rsidRPr="006347EF">
              <w:rPr>
                <w:rFonts w:ascii="Arial" w:eastAsia="Times New Roman" w:hAnsi="Arial" w:cs="Arial"/>
                <w:b/>
                <w:bCs/>
                <w:sz w:val="18"/>
                <w:szCs w:val="18"/>
                <w:shd w:val="clear" w:color="auto" w:fill="90EE90"/>
              </w:rPr>
              <w:t>STAAR Percent at Meets Grade Level or Above</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5</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6</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7</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8</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End of Course</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English I</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English II</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Algebra I</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Biology</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r>
            <w:r w:rsidRPr="006347EF">
              <w:rPr>
                <w:rFonts w:ascii="Arial" w:eastAsia="Times New Roman" w:hAnsi="Arial" w:cs="Arial"/>
                <w:b/>
                <w:bCs/>
                <w:sz w:val="18"/>
                <w:szCs w:val="18"/>
                <w:shd w:val="clear" w:color="auto" w:fill="FFFF99"/>
              </w:rPr>
              <w:t>STAAR Percent at Masters Grade Level</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5</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6</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7</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8</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End of Course</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English I</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English II</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Algebra I</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Biology</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r>
            <w:r w:rsidRPr="006347EF">
              <w:rPr>
                <w:rFonts w:ascii="Arial" w:eastAsia="Times New Roman" w:hAnsi="Arial" w:cs="Arial"/>
                <w:b/>
                <w:bCs/>
                <w:sz w:val="18"/>
                <w:szCs w:val="18"/>
                <w:shd w:val="clear" w:color="auto" w:fill="FF5757"/>
              </w:rPr>
              <w:t>STAAR Percent at Approaches Grade Level or Above</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Grades</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Subjects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86%</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r>
            <w:r w:rsidRPr="006347EF">
              <w:rPr>
                <w:rFonts w:ascii="Arial" w:eastAsia="Times New Roman" w:hAnsi="Arial" w:cs="Arial"/>
                <w:b/>
                <w:bCs/>
                <w:sz w:val="18"/>
                <w:szCs w:val="18"/>
                <w:shd w:val="clear" w:color="auto" w:fill="90EE90"/>
              </w:rPr>
              <w:t>STAAR Percent at Meets Grade Level or Above</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Grades</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Subjects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r>
            <w:r w:rsidRPr="006347EF">
              <w:rPr>
                <w:rFonts w:ascii="Arial" w:eastAsia="Times New Roman" w:hAnsi="Arial" w:cs="Arial"/>
                <w:b/>
                <w:bCs/>
                <w:sz w:val="18"/>
                <w:szCs w:val="18"/>
                <w:shd w:val="clear" w:color="auto" w:fill="FFFF99"/>
              </w:rPr>
              <w:t>STAAR Percent at Masters Grade Level</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Grades</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Subjects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79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2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r w:rsidRPr="006347EF">
              <w:rPr>
                <w:rFonts w:ascii="Arial" w:eastAsia="Times New Roman" w:hAnsi="Arial" w:cs="Arial"/>
                <w:sz w:val="18"/>
                <w:szCs w:val="18"/>
              </w:rPr>
              <w:br/>
              <w:t> </w:t>
            </w:r>
            <w:r w:rsidRPr="006347EF">
              <w:rPr>
                <w:rFonts w:ascii="Arial" w:eastAsia="Times New Roman" w:hAnsi="Arial" w:cs="Arial"/>
                <w:sz w:val="18"/>
                <w:szCs w:val="18"/>
              </w:rPr>
              <w:br/>
              <w:t>'*'       Indicates results are masked due to small numbers to protect student confidentiality.</w:t>
            </w:r>
            <w:r w:rsidRPr="006347EF">
              <w:rPr>
                <w:rFonts w:ascii="Arial" w:eastAsia="Times New Roman" w:hAnsi="Arial" w:cs="Arial"/>
                <w:sz w:val="18"/>
                <w:szCs w:val="18"/>
              </w:rPr>
              <w:br/>
              <w:t>'-'       Indicates zero observations reported for this group.</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bookmarkStart w:id="6" w:name="IDX7"/>
            <w:bookmarkEnd w:id="6"/>
            <w:r w:rsidRPr="006347EF">
              <w:rPr>
                <w:rFonts w:ascii="Arial" w:eastAsia="Times New Roman" w:hAnsi="Arial" w:cs="Arial"/>
                <w:sz w:val="18"/>
                <w:szCs w:val="18"/>
              </w:rPr>
              <w:t> </w:t>
            </w:r>
          </w:p>
        </w:tc>
      </w:tr>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r w:rsidRPr="006347EF">
              <w:rPr>
                <w:rFonts w:ascii="Arial" w:eastAsia="Times New Roman" w:hAnsi="Arial" w:cs="Arial"/>
                <w:b/>
                <w:bCs/>
                <w:color w:val="FFFFFF"/>
                <w:sz w:val="18"/>
                <w:szCs w:val="18"/>
              </w:rPr>
              <w:t>Part (iii): </w:t>
            </w:r>
            <w:r w:rsidRPr="006347EF">
              <w:rPr>
                <w:rFonts w:ascii="Arial" w:eastAsia="Times New Roman" w:hAnsi="Arial" w:cs="Arial"/>
                <w:color w:val="FFFFFF"/>
                <w:sz w:val="18"/>
                <w:szCs w:val="18"/>
              </w:rPr>
              <w:t>Academic Growth and Graduation Rate</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r>
            <w:r w:rsidRPr="006347EF">
              <w:rPr>
                <w:rFonts w:ascii="Arial" w:eastAsia="Times New Roman" w:hAnsi="Arial" w:cs="Arial"/>
                <w:b/>
                <w:bCs/>
                <w:sz w:val="18"/>
                <w:szCs w:val="18"/>
              </w:rPr>
              <w:t>Part (iii)(I): Academic Growth</w:t>
            </w:r>
            <w:r w:rsidRPr="006347EF">
              <w:rPr>
                <w:rFonts w:ascii="Arial" w:eastAsia="Times New Roman" w:hAnsi="Arial" w:cs="Arial"/>
                <w:b/>
                <w:bCs/>
                <w:sz w:val="18"/>
                <w:szCs w:val="18"/>
              </w:rPr>
              <w:br/>
            </w:r>
            <w:r w:rsidRPr="006347EF">
              <w:rPr>
                <w:rFonts w:ascii="Arial" w:eastAsia="Times New Roman" w:hAnsi="Arial" w:cs="Arial"/>
                <w:sz w:val="18"/>
                <w:szCs w:val="18"/>
              </w:rPr>
              <w:t>This section provides information on students' academic growth for mathematics and ELA/reading for public elementary schools and secondary schools which don't have a graduation rate. These results include all students tested, regardless of whether they were in the accountability subset.</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1461"/>
        <w:gridCol w:w="831"/>
        <w:gridCol w:w="865"/>
        <w:gridCol w:w="817"/>
        <w:gridCol w:w="641"/>
        <w:gridCol w:w="865"/>
        <w:gridCol w:w="642"/>
        <w:gridCol w:w="777"/>
        <w:gridCol w:w="669"/>
        <w:gridCol w:w="709"/>
        <w:gridCol w:w="601"/>
        <w:gridCol w:w="466"/>
      </w:tblGrid>
      <w:tr w:rsidR="006347EF" w:rsidRPr="006347EF" w:rsidTr="006347EF">
        <w:trPr>
          <w:tblHeade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bookmarkStart w:id="7" w:name="IDX8"/>
            <w:bookmarkEnd w:id="7"/>
            <w:r w:rsidRPr="006347EF">
              <w:rPr>
                <w:rFonts w:ascii="Arial" w:eastAsia="Times New Roman" w:hAnsi="Arial" w:cs="Arial"/>
                <w:b/>
                <w:bCs/>
                <w:sz w:val="18"/>
                <w:szCs w:val="18"/>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All</w:t>
            </w:r>
            <w:r w:rsidRPr="006347EF">
              <w:rPr>
                <w:rFonts w:ascii="Arial" w:eastAsia="Times New Roman" w:hAnsi="Arial" w:cs="Arial"/>
                <w:b/>
                <w:bCs/>
                <w:sz w:val="18"/>
                <w:szCs w:val="18"/>
              </w:rPr>
              <w:br/>
              <w:t>Students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African</w:t>
            </w:r>
            <w:r w:rsidRPr="006347EF">
              <w:rPr>
                <w:rFonts w:ascii="Arial" w:eastAsia="Times New Roman" w:hAnsi="Arial" w:cs="Arial"/>
                <w:b/>
                <w:bCs/>
                <w:sz w:val="18"/>
                <w:szCs w:val="18"/>
              </w:rPr>
              <w:br/>
              <w:t>American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Hispanic</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White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American</w:t>
            </w:r>
            <w:r w:rsidRPr="006347EF">
              <w:rPr>
                <w:rFonts w:ascii="Arial" w:eastAsia="Times New Roman" w:hAnsi="Arial" w:cs="Arial"/>
                <w:b/>
                <w:bCs/>
                <w:sz w:val="18"/>
                <w:szCs w:val="18"/>
              </w:rPr>
              <w:br/>
              <w:t>Indian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Asian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Pacific</w:t>
            </w:r>
            <w:r w:rsidRPr="006347EF">
              <w:rPr>
                <w:rFonts w:ascii="Arial" w:eastAsia="Times New Roman" w:hAnsi="Arial" w:cs="Arial"/>
                <w:b/>
                <w:bCs/>
                <w:sz w:val="18"/>
                <w:szCs w:val="18"/>
              </w:rPr>
              <w:br/>
              <w:t>Islander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Two or More</w:t>
            </w:r>
            <w:r w:rsidRPr="006347EF">
              <w:rPr>
                <w:rFonts w:ascii="Arial" w:eastAsia="Times New Roman" w:hAnsi="Arial" w:cs="Arial"/>
                <w:b/>
                <w:bCs/>
                <w:sz w:val="18"/>
                <w:szCs w:val="18"/>
              </w:rPr>
              <w:br/>
              <w:t>Races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Econ</w:t>
            </w:r>
            <w:r w:rsidRPr="006347EF">
              <w:rPr>
                <w:rFonts w:ascii="Arial" w:eastAsia="Times New Roman" w:hAnsi="Arial" w:cs="Arial"/>
                <w:b/>
                <w:bCs/>
                <w:sz w:val="18"/>
                <w:szCs w:val="18"/>
              </w:rPr>
              <w:br/>
              <w:t>Disadv</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CWD</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EL</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shd w:val="clear" w:color="auto" w:fill="D2B48C"/>
              </w:rPr>
              <w:t>Academic Growth Score</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rPr>
              <w:t>Reading</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rPr>
              <w:t>Mathematics</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bookmarkStart w:id="8" w:name="IDX9"/>
            <w:bookmarkEnd w:id="8"/>
            <w:r w:rsidRPr="006347EF">
              <w:rPr>
                <w:rFonts w:ascii="Arial" w:eastAsia="Times New Roman" w:hAnsi="Arial" w:cs="Arial"/>
                <w:sz w:val="18"/>
                <w:szCs w:val="18"/>
              </w:rPr>
              <w:br/>
            </w:r>
            <w:r w:rsidRPr="006347EF">
              <w:rPr>
                <w:rFonts w:ascii="Arial" w:eastAsia="Times New Roman" w:hAnsi="Arial" w:cs="Arial"/>
                <w:b/>
                <w:bCs/>
                <w:sz w:val="18"/>
                <w:szCs w:val="18"/>
              </w:rPr>
              <w:t>Part (iii)(II): Graduation Rate</w:t>
            </w:r>
            <w:r w:rsidRPr="006347EF">
              <w:rPr>
                <w:rFonts w:ascii="Arial" w:eastAsia="Times New Roman" w:hAnsi="Arial" w:cs="Arial"/>
                <w:b/>
                <w:bCs/>
                <w:sz w:val="18"/>
                <w:szCs w:val="18"/>
              </w:rPr>
              <w:br/>
            </w:r>
            <w:r w:rsidRPr="006347EF">
              <w:rPr>
                <w:rFonts w:ascii="Arial" w:eastAsia="Times New Roman" w:hAnsi="Arial" w:cs="Arial"/>
                <w:sz w:val="18"/>
                <w:szCs w:val="18"/>
              </w:rPr>
              <w:t>This section provides information on high school graduation rates.</w:t>
            </w:r>
          </w:p>
        </w:tc>
      </w:tr>
      <w:tr w:rsidR="006347EF" w:rsidRPr="006347EF" w:rsidTr="006347EF">
        <w:trPr>
          <w:tblCellSpacing w:w="0" w:type="dxa"/>
          <w:jc w:val="center"/>
        </w:trPr>
        <w:tc>
          <w:tcPr>
            <w:tcW w:w="0" w:type="auto"/>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746"/>
        <w:gridCol w:w="766"/>
        <w:gridCol w:w="813"/>
        <w:gridCol w:w="746"/>
        <w:gridCol w:w="518"/>
        <w:gridCol w:w="813"/>
        <w:gridCol w:w="498"/>
        <w:gridCol w:w="689"/>
        <w:gridCol w:w="613"/>
        <w:gridCol w:w="613"/>
        <w:gridCol w:w="613"/>
        <w:gridCol w:w="518"/>
        <w:gridCol w:w="842"/>
        <w:gridCol w:w="556"/>
      </w:tblGrid>
      <w:tr w:rsidR="006347EF" w:rsidRPr="006347EF" w:rsidTr="006347EF">
        <w:trPr>
          <w:tblHeade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bookmarkStart w:id="9" w:name="IDX10"/>
            <w:bookmarkEnd w:id="9"/>
            <w:r w:rsidRPr="006347EF">
              <w:rPr>
                <w:rFonts w:ascii="Arial" w:eastAsia="Times New Roman" w:hAnsi="Arial" w:cs="Arial"/>
                <w:b/>
                <w:bCs/>
                <w:sz w:val="18"/>
                <w:szCs w:val="18"/>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All</w:t>
            </w:r>
            <w:r w:rsidRPr="006347EF">
              <w:rPr>
                <w:rFonts w:ascii="Arial" w:eastAsia="Times New Roman" w:hAnsi="Arial" w:cs="Arial"/>
                <w:b/>
                <w:bCs/>
                <w:sz w:val="18"/>
                <w:szCs w:val="18"/>
              </w:rPr>
              <w:br/>
              <w:t>Students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African</w:t>
            </w:r>
            <w:r w:rsidRPr="006347EF">
              <w:rPr>
                <w:rFonts w:ascii="Arial" w:eastAsia="Times New Roman" w:hAnsi="Arial" w:cs="Arial"/>
                <w:b/>
                <w:bCs/>
                <w:sz w:val="18"/>
                <w:szCs w:val="18"/>
              </w:rPr>
              <w:br/>
              <w:t>American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Hispanic</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White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American</w:t>
            </w:r>
            <w:r w:rsidRPr="006347EF">
              <w:rPr>
                <w:rFonts w:ascii="Arial" w:eastAsia="Times New Roman" w:hAnsi="Arial" w:cs="Arial"/>
                <w:b/>
                <w:bCs/>
                <w:sz w:val="18"/>
                <w:szCs w:val="18"/>
              </w:rPr>
              <w:br/>
              <w:t>Indian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Asian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Pacific</w:t>
            </w:r>
            <w:r w:rsidRPr="006347EF">
              <w:rPr>
                <w:rFonts w:ascii="Arial" w:eastAsia="Times New Roman" w:hAnsi="Arial" w:cs="Arial"/>
                <w:b/>
                <w:bCs/>
                <w:sz w:val="18"/>
                <w:szCs w:val="18"/>
              </w:rPr>
              <w:br/>
              <w:t>Islander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Two or More</w:t>
            </w:r>
            <w:r w:rsidRPr="006347EF">
              <w:rPr>
                <w:rFonts w:ascii="Arial" w:eastAsia="Times New Roman" w:hAnsi="Arial" w:cs="Arial"/>
                <w:b/>
                <w:bCs/>
                <w:sz w:val="18"/>
                <w:szCs w:val="18"/>
              </w:rPr>
              <w:br/>
              <w:t>Races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Econ</w:t>
            </w:r>
            <w:r w:rsidRPr="006347EF">
              <w:rPr>
                <w:rFonts w:ascii="Arial" w:eastAsia="Times New Roman" w:hAnsi="Arial" w:cs="Arial"/>
                <w:b/>
                <w:bCs/>
                <w:sz w:val="18"/>
                <w:szCs w:val="18"/>
              </w:rPr>
              <w:br/>
              <w:t>Disadv</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CWD</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EL</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Homeless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Foster</w:t>
            </w:r>
            <w:r w:rsidRPr="006347EF">
              <w:rPr>
                <w:rFonts w:ascii="Arial" w:eastAsia="Times New Roman" w:hAnsi="Arial" w:cs="Arial"/>
                <w:b/>
                <w:bCs/>
                <w:sz w:val="18"/>
                <w:szCs w:val="18"/>
              </w:rPr>
              <w:br/>
              <w:t>Care</w:t>
            </w:r>
          </w:p>
        </w:tc>
      </w:tr>
      <w:tr w:rsidR="006347EF" w:rsidRPr="006347EF" w:rsidTr="006347EF">
        <w:trPr>
          <w:tblCellSpacing w:w="0" w:type="dxa"/>
          <w:jc w:val="center"/>
        </w:trPr>
        <w:tc>
          <w:tcPr>
            <w:tcW w:w="0" w:type="auto"/>
            <w:gridSpan w:val="14"/>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shd w:val="clear" w:color="auto" w:fill="D2B48C"/>
              </w:rPr>
              <w:t>Federal Graduation Rates</w:t>
            </w:r>
          </w:p>
        </w:tc>
      </w:tr>
      <w:tr w:rsidR="006347EF" w:rsidRPr="006347EF" w:rsidTr="006347EF">
        <w:trPr>
          <w:tblCellSpacing w:w="0" w:type="dxa"/>
          <w:jc w:val="center"/>
        </w:trPr>
        <w:tc>
          <w:tcPr>
            <w:tcW w:w="0" w:type="auto"/>
            <w:gridSpan w:val="14"/>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rPr>
              <w:t>4-year Longitudinal Cohort Graduation Rate (Gr 9-12): Class of 2017</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89.1%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89.7%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14"/>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14"/>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t> </w:t>
            </w:r>
            <w:r w:rsidRPr="006347EF">
              <w:rPr>
                <w:rFonts w:ascii="Arial" w:eastAsia="Times New Roman" w:hAnsi="Arial" w:cs="Arial"/>
                <w:sz w:val="18"/>
                <w:szCs w:val="18"/>
              </w:rPr>
              <w:br/>
              <w:t> </w:t>
            </w:r>
            <w:r w:rsidRPr="006347EF">
              <w:rPr>
                <w:rFonts w:ascii="Arial" w:eastAsia="Times New Roman" w:hAnsi="Arial" w:cs="Arial"/>
                <w:sz w:val="18"/>
                <w:szCs w:val="18"/>
              </w:rPr>
              <w:br/>
              <w:t>'*'       Indicates results are masked due to small numbers to protect student confidentiality.</w:t>
            </w:r>
            <w:r w:rsidRPr="006347EF">
              <w:rPr>
                <w:rFonts w:ascii="Arial" w:eastAsia="Times New Roman" w:hAnsi="Arial" w:cs="Arial"/>
                <w:sz w:val="18"/>
                <w:szCs w:val="18"/>
              </w:rPr>
              <w:br/>
              <w:t>'-'       Indicates there are no students in the group.</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bookmarkStart w:id="10" w:name="IDX11"/>
            <w:bookmarkEnd w:id="10"/>
            <w:r w:rsidRPr="006347EF">
              <w:rPr>
                <w:rFonts w:ascii="Arial" w:eastAsia="Times New Roman" w:hAnsi="Arial" w:cs="Arial"/>
                <w:b/>
                <w:bCs/>
                <w:color w:val="FFFFFF"/>
                <w:sz w:val="18"/>
                <w:szCs w:val="18"/>
              </w:rPr>
              <w:t>Part (iv): </w:t>
            </w:r>
            <w:r w:rsidRPr="006347EF">
              <w:rPr>
                <w:rFonts w:ascii="Arial" w:eastAsia="Times New Roman" w:hAnsi="Arial" w:cs="Arial"/>
                <w:color w:val="FFFFFF"/>
                <w:sz w:val="18"/>
                <w:szCs w:val="18"/>
              </w:rPr>
              <w:t>English Language Proficiency</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This section provides information on the number and percentage of English learners achieving English language proficiency.</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3115"/>
        <w:gridCol w:w="3128"/>
        <w:gridCol w:w="3101"/>
      </w:tblGrid>
      <w:tr w:rsidR="006347EF" w:rsidRPr="006347EF" w:rsidTr="006347EF">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bookmarkStart w:id="11" w:name="IDX12"/>
            <w:bookmarkEnd w:id="11"/>
            <w:r w:rsidRPr="006347EF">
              <w:rPr>
                <w:rFonts w:ascii="Arial" w:eastAsia="Times New Roman" w:hAnsi="Arial" w:cs="Arial"/>
                <w:b/>
                <w:bCs/>
                <w:sz w:val="18"/>
                <w:szCs w:val="18"/>
              </w:rPr>
              <w:t>Total EL in Class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Proficiency of EL</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Rate of Proficiency</w:t>
            </w:r>
          </w:p>
        </w:tc>
      </w:tr>
      <w:tr w:rsidR="006347EF" w:rsidRPr="006347EF" w:rsidTr="006347EF">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316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165</w:t>
            </w:r>
          </w:p>
        </w:tc>
        <w:tc>
          <w:tcPr>
            <w:tcW w:w="316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316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w:t>
            </w:r>
          </w:p>
        </w:tc>
      </w:tr>
      <w:tr w:rsidR="006347EF" w:rsidRPr="006347EF" w:rsidTr="006347EF">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t> </w:t>
            </w:r>
            <w:r w:rsidRPr="006347EF">
              <w:rPr>
                <w:rFonts w:ascii="Arial" w:eastAsia="Times New Roman" w:hAnsi="Arial" w:cs="Arial"/>
                <w:sz w:val="18"/>
                <w:szCs w:val="18"/>
              </w:rPr>
              <w:br/>
              <w:t>'*'       Indicates results are masked due to small numbers to protect student confidentiality.</w:t>
            </w:r>
            <w:r w:rsidRPr="006347EF">
              <w:rPr>
                <w:rFonts w:ascii="Arial" w:eastAsia="Times New Roman" w:hAnsi="Arial" w:cs="Arial"/>
                <w:sz w:val="18"/>
                <w:szCs w:val="18"/>
              </w:rPr>
              <w:br/>
              <w:t>'-'       Indicates zero observations reported for this group.</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bookmarkStart w:id="12" w:name="IDX13"/>
            <w:bookmarkEnd w:id="12"/>
            <w:r w:rsidRPr="006347EF">
              <w:rPr>
                <w:rFonts w:ascii="Arial" w:eastAsia="Times New Roman" w:hAnsi="Arial" w:cs="Arial"/>
                <w:b/>
                <w:bCs/>
                <w:color w:val="FFFFFF"/>
                <w:sz w:val="18"/>
                <w:szCs w:val="18"/>
              </w:rPr>
              <w:t>Part (v): </w:t>
            </w:r>
            <w:r w:rsidRPr="006347EF">
              <w:rPr>
                <w:rFonts w:ascii="Arial" w:eastAsia="Times New Roman" w:hAnsi="Arial" w:cs="Arial"/>
                <w:color w:val="FFFFFF"/>
                <w:sz w:val="18"/>
                <w:szCs w:val="18"/>
              </w:rPr>
              <w:t>School Quality or Student Success (SQSS)</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This section provides information on the other indicator of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1534"/>
        <w:gridCol w:w="829"/>
        <w:gridCol w:w="864"/>
        <w:gridCol w:w="815"/>
        <w:gridCol w:w="632"/>
        <w:gridCol w:w="864"/>
        <w:gridCol w:w="632"/>
        <w:gridCol w:w="772"/>
        <w:gridCol w:w="660"/>
        <w:gridCol w:w="702"/>
        <w:gridCol w:w="590"/>
        <w:gridCol w:w="450"/>
      </w:tblGrid>
      <w:tr w:rsidR="006347EF" w:rsidRPr="006347EF" w:rsidTr="006347EF">
        <w:trPr>
          <w:tblHeade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bookmarkStart w:id="13" w:name="IDX14"/>
            <w:bookmarkEnd w:id="13"/>
            <w:r w:rsidRPr="006347EF">
              <w:rPr>
                <w:rFonts w:ascii="Arial" w:eastAsia="Times New Roman" w:hAnsi="Arial" w:cs="Arial"/>
                <w:b/>
                <w:bCs/>
                <w:sz w:val="18"/>
                <w:szCs w:val="18"/>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All</w:t>
            </w:r>
            <w:r w:rsidRPr="006347EF">
              <w:rPr>
                <w:rFonts w:ascii="Arial" w:eastAsia="Times New Roman" w:hAnsi="Arial" w:cs="Arial"/>
                <w:b/>
                <w:bCs/>
                <w:sz w:val="18"/>
                <w:szCs w:val="18"/>
              </w:rPr>
              <w:br/>
              <w:t>Students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African</w:t>
            </w:r>
            <w:r w:rsidRPr="006347EF">
              <w:rPr>
                <w:rFonts w:ascii="Arial" w:eastAsia="Times New Roman" w:hAnsi="Arial" w:cs="Arial"/>
                <w:b/>
                <w:bCs/>
                <w:sz w:val="18"/>
                <w:szCs w:val="18"/>
              </w:rPr>
              <w:br/>
              <w:t>American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Hispanic</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White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American</w:t>
            </w:r>
            <w:r w:rsidRPr="006347EF">
              <w:rPr>
                <w:rFonts w:ascii="Arial" w:eastAsia="Times New Roman" w:hAnsi="Arial" w:cs="Arial"/>
                <w:b/>
                <w:bCs/>
                <w:sz w:val="18"/>
                <w:szCs w:val="18"/>
              </w:rPr>
              <w:br/>
              <w:t>Indian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Asian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Pacific</w:t>
            </w:r>
            <w:r w:rsidRPr="006347EF">
              <w:rPr>
                <w:rFonts w:ascii="Arial" w:eastAsia="Times New Roman" w:hAnsi="Arial" w:cs="Arial"/>
                <w:b/>
                <w:bCs/>
                <w:sz w:val="18"/>
                <w:szCs w:val="18"/>
              </w:rPr>
              <w:br/>
              <w:t>Islander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Two or More</w:t>
            </w:r>
            <w:r w:rsidRPr="006347EF">
              <w:rPr>
                <w:rFonts w:ascii="Arial" w:eastAsia="Times New Roman" w:hAnsi="Arial" w:cs="Arial"/>
                <w:b/>
                <w:bCs/>
                <w:sz w:val="18"/>
                <w:szCs w:val="18"/>
              </w:rPr>
              <w:br/>
              <w:t>Races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Econ</w:t>
            </w:r>
            <w:r w:rsidRPr="006347EF">
              <w:rPr>
                <w:rFonts w:ascii="Arial" w:eastAsia="Times New Roman" w:hAnsi="Arial" w:cs="Arial"/>
                <w:b/>
                <w:bCs/>
                <w:sz w:val="18"/>
                <w:szCs w:val="18"/>
              </w:rPr>
              <w:br/>
              <w:t>Disadv</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CWD</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EL</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shd w:val="clear" w:color="auto" w:fill="F9801D"/>
              </w:rPr>
              <w:t>Student Success (Student Achievement Domain Score: STAAR Component Only)</w:t>
            </w:r>
            <w:r w:rsidRPr="006347EF">
              <w:rPr>
                <w:rFonts w:ascii="Arial" w:eastAsia="Times New Roman" w:hAnsi="Arial" w:cs="Arial"/>
                <w:sz w:val="18"/>
                <w:szCs w:val="18"/>
              </w:rPr>
              <w:br/>
              <w:t> </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STAAR Component Score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shd w:val="clear" w:color="auto" w:fill="F9801D"/>
              </w:rPr>
              <w:t>School Quality (College, Career, and Military Readiness Performance)</w:t>
            </w:r>
            <w:r w:rsidRPr="006347EF">
              <w:rPr>
                <w:rFonts w:ascii="Arial" w:eastAsia="Times New Roman" w:hAnsi="Arial" w:cs="Arial"/>
                <w:sz w:val="18"/>
                <w:szCs w:val="18"/>
              </w:rPr>
              <w:br/>
              <w:t> </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%Students meeting CCMR</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t>'*'       Indicates results are masked due to small numbers to protect student confidentiality.</w:t>
            </w:r>
            <w:r w:rsidRPr="006347EF">
              <w:rPr>
                <w:rFonts w:ascii="Arial" w:eastAsia="Times New Roman" w:hAnsi="Arial" w:cs="Arial"/>
                <w:sz w:val="18"/>
                <w:szCs w:val="18"/>
              </w:rPr>
              <w:br/>
              <w:t>'-'       Indicates there are no students in the group.</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bookmarkStart w:id="14" w:name="IDX15"/>
            <w:bookmarkEnd w:id="14"/>
            <w:r w:rsidRPr="006347EF">
              <w:rPr>
                <w:rFonts w:ascii="Arial" w:eastAsia="Times New Roman" w:hAnsi="Arial" w:cs="Arial"/>
                <w:b/>
                <w:bCs/>
                <w:color w:val="FFFFFF"/>
                <w:sz w:val="18"/>
                <w:szCs w:val="18"/>
              </w:rPr>
              <w:t>Part (vi): </w:t>
            </w:r>
            <w:r w:rsidRPr="006347EF">
              <w:rPr>
                <w:rFonts w:ascii="Arial" w:eastAsia="Times New Roman" w:hAnsi="Arial" w:cs="Arial"/>
                <w:color w:val="FFFFFF"/>
                <w:sz w:val="18"/>
                <w:szCs w:val="18"/>
              </w:rPr>
              <w:t>Goal Meeting Status</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br/>
              <w:t>This section provides information on the progress of all students and each student group toward meeting the long-term goals or interim objectives on STAAR academic performance, federal graduation rate, and English learners' language proficiency.</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1292"/>
        <w:gridCol w:w="772"/>
        <w:gridCol w:w="772"/>
        <w:gridCol w:w="772"/>
        <w:gridCol w:w="758"/>
        <w:gridCol w:w="772"/>
        <w:gridCol w:w="737"/>
        <w:gridCol w:w="772"/>
        <w:gridCol w:w="750"/>
        <w:gridCol w:w="772"/>
        <w:gridCol w:w="625"/>
        <w:gridCol w:w="550"/>
      </w:tblGrid>
      <w:tr w:rsidR="006347EF" w:rsidRPr="006347EF" w:rsidTr="006347EF">
        <w:trPr>
          <w:tblHeade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bookmarkStart w:id="15" w:name="IDX16"/>
            <w:bookmarkEnd w:id="15"/>
            <w:r w:rsidRPr="006347EF">
              <w:rPr>
                <w:rFonts w:ascii="Arial" w:eastAsia="Times New Roman" w:hAnsi="Arial" w:cs="Arial"/>
                <w:b/>
                <w:bCs/>
                <w:sz w:val="18"/>
                <w:szCs w:val="18"/>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All</w:t>
            </w:r>
            <w:r w:rsidRPr="006347EF">
              <w:rPr>
                <w:rFonts w:ascii="Arial" w:eastAsia="Times New Roman" w:hAnsi="Arial" w:cs="Arial"/>
                <w:b/>
                <w:bCs/>
                <w:sz w:val="18"/>
                <w:szCs w:val="18"/>
              </w:rPr>
              <w:br/>
              <w:t>Students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African</w:t>
            </w:r>
            <w:r w:rsidRPr="006347EF">
              <w:rPr>
                <w:rFonts w:ascii="Arial" w:eastAsia="Times New Roman" w:hAnsi="Arial" w:cs="Arial"/>
                <w:b/>
                <w:bCs/>
                <w:sz w:val="18"/>
                <w:szCs w:val="18"/>
              </w:rPr>
              <w:br/>
              <w:t>American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Hispanic</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White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American</w:t>
            </w:r>
            <w:r w:rsidRPr="006347EF">
              <w:rPr>
                <w:rFonts w:ascii="Arial" w:eastAsia="Times New Roman" w:hAnsi="Arial" w:cs="Arial"/>
                <w:b/>
                <w:bCs/>
                <w:sz w:val="18"/>
                <w:szCs w:val="18"/>
              </w:rPr>
              <w:br/>
              <w:t>Indian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Asian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Pacific</w:t>
            </w:r>
            <w:r w:rsidRPr="006347EF">
              <w:rPr>
                <w:rFonts w:ascii="Arial" w:eastAsia="Times New Roman" w:hAnsi="Arial" w:cs="Arial"/>
                <w:b/>
                <w:bCs/>
                <w:sz w:val="18"/>
                <w:szCs w:val="18"/>
              </w:rPr>
              <w:br/>
              <w:t>Islander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Two or More</w:t>
            </w:r>
            <w:r w:rsidRPr="006347EF">
              <w:rPr>
                <w:rFonts w:ascii="Arial" w:eastAsia="Times New Roman" w:hAnsi="Arial" w:cs="Arial"/>
                <w:b/>
                <w:bCs/>
                <w:sz w:val="18"/>
                <w:szCs w:val="18"/>
              </w:rPr>
              <w:br/>
              <w:t>Races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Econ</w:t>
            </w:r>
            <w:r w:rsidRPr="006347EF">
              <w:rPr>
                <w:rFonts w:ascii="Arial" w:eastAsia="Times New Roman" w:hAnsi="Arial" w:cs="Arial"/>
                <w:b/>
                <w:bCs/>
                <w:sz w:val="18"/>
                <w:szCs w:val="18"/>
              </w:rPr>
              <w:br/>
              <w:t>Disadv</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CWD</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EL +</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rPr>
              <w:t>STAAR Performance Status</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rPr>
              <w:t>Reading</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(2018-2022)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Y</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(2023-2027)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(2028-2032)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Long-Term Goals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rPr>
              <w:t>Mathematics</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(2018-2022)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Y</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(2023-2027)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(2028-2032)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Long-Term Goals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shd w:val="clear" w:color="auto" w:fill="ABABAB"/>
              </w:rPr>
              <w:t>English Learner Language Proficiency Status</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(2018-2022)</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(2023-2027)</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(2028-2032)</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Long-Term Goals</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ABABAB"/>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rPr>
              <w:t>Federal Graduation Status</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(2018-2022)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Interim Goals (2023-2027)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Interim Goals (2028-2032)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Long-Term Goals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r>
      <w:tr w:rsidR="006347EF" w:rsidRPr="006347EF" w:rsidTr="006347EF">
        <w:trPr>
          <w:tblCellSpacing w:w="0" w:type="dxa"/>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Target Met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12"/>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t> </w:t>
            </w:r>
            <w:r w:rsidRPr="006347EF">
              <w:rPr>
                <w:rFonts w:ascii="Arial" w:eastAsia="Times New Roman" w:hAnsi="Arial" w:cs="Arial"/>
                <w:sz w:val="18"/>
                <w:szCs w:val="18"/>
              </w:rPr>
              <w:br/>
              <w:t>'+'       STAAR Performance and Graduation use EL(Current &amp; Monitored), EL English Learner Language Proficiency uses EL (Current).</w:t>
            </w:r>
            <w:r w:rsidRPr="006347EF">
              <w:rPr>
                <w:rFonts w:ascii="Arial" w:eastAsia="Times New Roman" w:hAnsi="Arial" w:cs="Arial"/>
                <w:sz w:val="18"/>
                <w:szCs w:val="18"/>
              </w:rPr>
              <w:br/>
              <w:t>           Blank cells above represent student group indicators that do not meet the minimum size criteria.</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20"/>
                <w:szCs w:val="20"/>
              </w:rPr>
            </w:pPr>
            <w:bookmarkStart w:id="16" w:name="IDX17"/>
            <w:bookmarkEnd w:id="16"/>
            <w:r w:rsidRPr="006347EF">
              <w:rPr>
                <w:rFonts w:ascii="Arial" w:eastAsia="Times New Roman" w:hAnsi="Arial" w:cs="Arial"/>
                <w:sz w:val="20"/>
                <w:szCs w:val="20"/>
              </w:rPr>
              <w:t> </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20"/>
                <w:szCs w:val="20"/>
              </w:rPr>
            </w:pPr>
            <w:r w:rsidRPr="006347EF">
              <w:rPr>
                <w:rFonts w:ascii="Arial" w:eastAsia="Times New Roman" w:hAnsi="Arial" w:cs="Arial"/>
                <w:sz w:val="20"/>
                <w:szCs w:val="20"/>
              </w:rPr>
              <w:t>Source: 2018 Accountability Closing the Gaps Status Table</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bookmarkStart w:id="17" w:name="IDX18"/>
            <w:bookmarkEnd w:id="17"/>
            <w:r w:rsidRPr="006347EF">
              <w:rPr>
                <w:rFonts w:ascii="Arial" w:eastAsia="Times New Roman" w:hAnsi="Arial" w:cs="Arial"/>
                <w:b/>
                <w:bCs/>
                <w:color w:val="FFFFFF"/>
                <w:sz w:val="18"/>
                <w:szCs w:val="18"/>
              </w:rPr>
              <w:t>Part (vii): </w:t>
            </w:r>
            <w:r w:rsidRPr="006347EF">
              <w:rPr>
                <w:rFonts w:ascii="Arial" w:eastAsia="Times New Roman" w:hAnsi="Arial" w:cs="Arial"/>
                <w:color w:val="FFFFFF"/>
                <w:sz w:val="18"/>
                <w:szCs w:val="18"/>
              </w:rPr>
              <w:t>STAAR Participation</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This section provides the percentage of students assessed and not assessed for mathematics, ELA/reading, and science.</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1025"/>
        <w:gridCol w:w="596"/>
        <w:gridCol w:w="497"/>
        <w:gridCol w:w="648"/>
        <w:gridCol w:w="595"/>
        <w:gridCol w:w="399"/>
        <w:gridCol w:w="648"/>
        <w:gridCol w:w="400"/>
        <w:gridCol w:w="550"/>
        <w:gridCol w:w="430"/>
        <w:gridCol w:w="475"/>
        <w:gridCol w:w="475"/>
        <w:gridCol w:w="377"/>
        <w:gridCol w:w="459"/>
        <w:gridCol w:w="377"/>
        <w:gridCol w:w="377"/>
        <w:gridCol w:w="497"/>
        <w:gridCol w:w="519"/>
      </w:tblGrid>
      <w:tr w:rsidR="006347EF" w:rsidRPr="006347EF" w:rsidTr="006347EF">
        <w:trPr>
          <w:tblHeade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bookmarkStart w:id="18" w:name="IDX19"/>
            <w:bookmarkEnd w:id="18"/>
            <w:r w:rsidRPr="006347EF">
              <w:rPr>
                <w:rFonts w:ascii="Arial" w:eastAsia="Times New Roman" w:hAnsi="Arial" w:cs="Arial"/>
                <w:b/>
                <w:bCs/>
                <w:sz w:val="18"/>
                <w:szCs w:val="18"/>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District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African</w:t>
            </w:r>
            <w:r w:rsidRPr="006347EF">
              <w:rPr>
                <w:rFonts w:ascii="Arial" w:eastAsia="Times New Roman" w:hAnsi="Arial" w:cs="Arial"/>
                <w:b/>
                <w:bCs/>
                <w:sz w:val="18"/>
                <w:szCs w:val="18"/>
              </w:rPr>
              <w:br/>
              <w:t>American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Hispanic</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White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American</w:t>
            </w:r>
            <w:r w:rsidRPr="006347EF">
              <w:rPr>
                <w:rFonts w:ascii="Arial" w:eastAsia="Times New Roman" w:hAnsi="Arial" w:cs="Arial"/>
                <w:b/>
                <w:bCs/>
                <w:sz w:val="18"/>
                <w:szCs w:val="18"/>
              </w:rPr>
              <w:br/>
              <w:t>Indian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Asian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Pacific</w:t>
            </w:r>
            <w:r w:rsidRPr="006347EF">
              <w:rPr>
                <w:rFonts w:ascii="Arial" w:eastAsia="Times New Roman" w:hAnsi="Arial" w:cs="Arial"/>
                <w:b/>
                <w:bCs/>
                <w:sz w:val="18"/>
                <w:szCs w:val="18"/>
              </w:rPr>
              <w:br/>
              <w:t>Islander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Two or</w:t>
            </w:r>
            <w:r w:rsidRPr="006347EF">
              <w:rPr>
                <w:rFonts w:ascii="Arial" w:eastAsia="Times New Roman" w:hAnsi="Arial" w:cs="Arial"/>
                <w:b/>
                <w:bCs/>
                <w:sz w:val="18"/>
                <w:szCs w:val="18"/>
              </w:rPr>
              <w:br/>
              <w:t>More</w:t>
            </w:r>
            <w:r w:rsidRPr="006347EF">
              <w:rPr>
                <w:rFonts w:ascii="Arial" w:eastAsia="Times New Roman" w:hAnsi="Arial" w:cs="Arial"/>
                <w:b/>
                <w:bCs/>
                <w:sz w:val="18"/>
                <w:szCs w:val="18"/>
              </w:rPr>
              <w:br/>
              <w:t>Races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Econ</w:t>
            </w:r>
            <w:r w:rsidRPr="006347EF">
              <w:rPr>
                <w:rFonts w:ascii="Arial" w:eastAsia="Times New Roman" w:hAnsi="Arial" w:cs="Arial"/>
                <w:b/>
                <w:bCs/>
                <w:sz w:val="18"/>
                <w:szCs w:val="18"/>
              </w:rPr>
              <w:br/>
              <w:t>Disadv</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Non</w:t>
            </w:r>
            <w:r w:rsidRPr="006347EF">
              <w:rPr>
                <w:rFonts w:ascii="Arial" w:eastAsia="Times New Roman" w:hAnsi="Arial" w:cs="Arial"/>
                <w:b/>
                <w:bCs/>
                <w:sz w:val="18"/>
                <w:szCs w:val="18"/>
              </w:rPr>
              <w:br/>
              <w:t>Econ</w:t>
            </w:r>
            <w:r w:rsidRPr="006347EF">
              <w:rPr>
                <w:rFonts w:ascii="Arial" w:eastAsia="Times New Roman" w:hAnsi="Arial" w:cs="Arial"/>
                <w:b/>
                <w:bCs/>
                <w:sz w:val="18"/>
                <w:szCs w:val="18"/>
              </w:rPr>
              <w:br/>
              <w:t>Disadv</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CWD</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CWOD</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EL</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Male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Female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Migrant</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shd w:val="clear" w:color="auto" w:fill="FFFFE0"/>
              </w:rPr>
              <w:t>Participation Rate</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Subjects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96%</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97%</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98%</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b/>
                <w:bCs/>
                <w:sz w:val="18"/>
                <w:szCs w:val="18"/>
                <w:shd w:val="clear" w:color="auto" w:fill="FFFFE0"/>
              </w:rPr>
              <w:t>Non-Participation Rate</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Subjects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Students</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CWOD</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EL</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Female</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893"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r>
      <w:tr w:rsidR="006347EF" w:rsidRPr="006347EF" w:rsidTr="006347EF">
        <w:trPr>
          <w:tblCellSpacing w:w="0" w:type="dxa"/>
          <w:jc w:val="center"/>
        </w:trPr>
        <w:tc>
          <w:tcPr>
            <w:tcW w:w="0" w:type="auto"/>
            <w:gridSpan w:val="18"/>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t> </w:t>
            </w:r>
            <w:r w:rsidRPr="006347EF">
              <w:rPr>
                <w:rFonts w:ascii="Arial" w:eastAsia="Times New Roman" w:hAnsi="Arial" w:cs="Arial"/>
                <w:sz w:val="18"/>
                <w:szCs w:val="18"/>
              </w:rPr>
              <w:br/>
              <w:t>'*'       Indicates results are masked due to small numbers to protect student confidentiality.</w:t>
            </w:r>
            <w:r w:rsidRPr="006347EF">
              <w:rPr>
                <w:rFonts w:ascii="Arial" w:eastAsia="Times New Roman" w:hAnsi="Arial" w:cs="Arial"/>
                <w:sz w:val="18"/>
                <w:szCs w:val="18"/>
              </w:rPr>
              <w:br/>
              <w:t>'-'       Indicates zero observations reported for this group.</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bookmarkStart w:id="19" w:name="IDX20"/>
            <w:bookmarkEnd w:id="19"/>
            <w:r w:rsidRPr="006347EF">
              <w:rPr>
                <w:rFonts w:ascii="Arial" w:eastAsia="Times New Roman" w:hAnsi="Arial" w:cs="Arial"/>
                <w:sz w:val="18"/>
                <w:szCs w:val="18"/>
              </w:rPr>
              <w:t> </w:t>
            </w:r>
          </w:p>
        </w:tc>
      </w:tr>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r w:rsidRPr="006347EF">
              <w:rPr>
                <w:rFonts w:ascii="Arial" w:eastAsia="Times New Roman" w:hAnsi="Arial" w:cs="Arial"/>
                <w:b/>
                <w:bCs/>
                <w:color w:val="FFFFFF"/>
                <w:sz w:val="18"/>
                <w:szCs w:val="18"/>
              </w:rPr>
              <w:t>Part (viii): </w:t>
            </w:r>
            <w:r w:rsidRPr="006347EF">
              <w:rPr>
                <w:rFonts w:ascii="Arial" w:eastAsia="Times New Roman" w:hAnsi="Arial" w:cs="Arial"/>
                <w:color w:val="FFFFFF"/>
                <w:sz w:val="18"/>
                <w:szCs w:val="18"/>
              </w:rPr>
              <w:t>Civil Rights Data</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Part (viii)(I) This section provides information submitted by school districts to the Office for Civil Rights on measures of school quality, climate, and safety.</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17280" w:type="dxa"/>
            <w:tcBorders>
              <w:top w:val="nil"/>
              <w:left w:val="nil"/>
              <w:bottom w:val="nil"/>
              <w:right w:val="nil"/>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20"/>
                <w:szCs w:val="20"/>
              </w:rPr>
            </w:pPr>
            <w:bookmarkStart w:id="20" w:name="IDX21"/>
            <w:bookmarkEnd w:id="20"/>
            <w:r w:rsidRPr="006347EF">
              <w:rPr>
                <w:rFonts w:ascii="Arial" w:eastAsia="Times New Roman" w:hAnsi="Arial" w:cs="Arial"/>
                <w:sz w:val="20"/>
                <w:szCs w:val="20"/>
              </w:rPr>
              <w:t>The data is not required for district level.</w:t>
            </w:r>
          </w:p>
        </w:tc>
      </w:tr>
      <w:tr w:rsidR="006347EF" w:rsidRPr="006347EF" w:rsidTr="006347EF">
        <w:trPr>
          <w:tblCellSpacing w:w="0" w:type="dxa"/>
          <w:jc w:val="center"/>
        </w:trPr>
        <w:tc>
          <w:tcPr>
            <w:tcW w:w="0" w:type="auto"/>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20"/>
                <w:szCs w:val="20"/>
              </w:rPr>
            </w:pPr>
            <w:r w:rsidRPr="006347EF">
              <w:rPr>
                <w:rFonts w:ascii="Arial" w:eastAsia="Times New Roman" w:hAnsi="Arial" w:cs="Arial"/>
                <w:sz w:val="20"/>
                <w:szCs w:val="20"/>
              </w:rPr>
              <w:t> </w:t>
            </w:r>
            <w:r w:rsidRPr="006347EF">
              <w:rPr>
                <w:rFonts w:ascii="Arial" w:eastAsia="Times New Roman" w:hAnsi="Arial" w:cs="Arial"/>
                <w:sz w:val="20"/>
                <w:szCs w:val="20"/>
              </w:rPr>
              <w:br/>
              <w:t> </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bookmarkStart w:id="21" w:name="IDX22"/>
            <w:bookmarkEnd w:id="21"/>
            <w:r w:rsidRPr="006347EF">
              <w:rPr>
                <w:rFonts w:ascii="Arial" w:eastAsia="Times New Roman" w:hAnsi="Arial" w:cs="Arial"/>
                <w:sz w:val="18"/>
                <w:szCs w:val="18"/>
              </w:rPr>
              <w:br/>
              <w:t>Part (viii)(II) This section provides information submitted by school districts to the Office for Civil Rights on the number and percentage of students enrolled in preschool programs and accelerated coursework to earn postsecondary credit while still in high school.</w:t>
            </w:r>
          </w:p>
        </w:tc>
      </w:tr>
      <w:tr w:rsidR="006347EF" w:rsidRPr="006347EF" w:rsidTr="006347EF">
        <w:trPr>
          <w:tblCellSpacing w:w="0" w:type="dxa"/>
          <w:jc w:val="center"/>
        </w:trPr>
        <w:tc>
          <w:tcPr>
            <w:tcW w:w="0" w:type="auto"/>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17280" w:type="dxa"/>
            <w:tcBorders>
              <w:top w:val="nil"/>
              <w:left w:val="nil"/>
              <w:bottom w:val="nil"/>
              <w:right w:val="nil"/>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sz w:val="20"/>
                <w:szCs w:val="20"/>
              </w:rPr>
            </w:pPr>
            <w:bookmarkStart w:id="22" w:name="IDX23"/>
            <w:bookmarkEnd w:id="22"/>
            <w:r w:rsidRPr="006347EF">
              <w:rPr>
                <w:rFonts w:ascii="Arial" w:eastAsia="Times New Roman" w:hAnsi="Arial" w:cs="Arial"/>
                <w:sz w:val="20"/>
                <w:szCs w:val="20"/>
              </w:rPr>
              <w:t>The data is not required for district level.</w:t>
            </w:r>
          </w:p>
        </w:tc>
      </w:tr>
      <w:tr w:rsidR="006347EF" w:rsidRPr="006347EF" w:rsidTr="006347EF">
        <w:trPr>
          <w:tblCellSpacing w:w="0" w:type="dxa"/>
          <w:jc w:val="center"/>
        </w:trPr>
        <w:tc>
          <w:tcPr>
            <w:tcW w:w="0" w:type="auto"/>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20"/>
                <w:szCs w:val="20"/>
              </w:rPr>
            </w:pPr>
            <w:r w:rsidRPr="006347EF">
              <w:rPr>
                <w:rFonts w:ascii="Arial" w:eastAsia="Times New Roman" w:hAnsi="Arial" w:cs="Arial"/>
                <w:sz w:val="20"/>
                <w:szCs w:val="20"/>
              </w:rPr>
              <w:t> </w:t>
            </w:r>
            <w:r w:rsidRPr="006347EF">
              <w:rPr>
                <w:rFonts w:ascii="Arial" w:eastAsia="Times New Roman" w:hAnsi="Arial" w:cs="Arial"/>
                <w:sz w:val="20"/>
                <w:szCs w:val="20"/>
              </w:rPr>
              <w:br/>
              <w:t> </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bookmarkStart w:id="23" w:name="IDX24"/>
            <w:bookmarkEnd w:id="23"/>
            <w:r w:rsidRPr="006347EF">
              <w:rPr>
                <w:rFonts w:ascii="Arial" w:eastAsia="Times New Roman" w:hAnsi="Arial" w:cs="Arial"/>
                <w:b/>
                <w:bCs/>
                <w:color w:val="FFFFFF"/>
                <w:sz w:val="18"/>
                <w:szCs w:val="18"/>
              </w:rPr>
              <w:t>Part (ix): </w:t>
            </w:r>
            <w:r w:rsidRPr="006347EF">
              <w:rPr>
                <w:rFonts w:ascii="Arial" w:eastAsia="Times New Roman" w:hAnsi="Arial" w:cs="Arial"/>
                <w:color w:val="FFFFFF"/>
                <w:sz w:val="18"/>
                <w:szCs w:val="18"/>
              </w:rPr>
              <w:t>Teacher Quality Data</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This section provides information on the professional qualifications of teachers, including information disaggregated by high- and and low-poverty schools on the number and percentage of (I) inexperienced teacher, principals, and other school leaders; (II) teachers teaching with emergency or provisional credentials; and (III) teachers who are not teaching in the subject or field for which the teacher is certified or licensed.</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3797"/>
        <w:gridCol w:w="930"/>
        <w:gridCol w:w="919"/>
        <w:gridCol w:w="930"/>
        <w:gridCol w:w="919"/>
        <w:gridCol w:w="930"/>
        <w:gridCol w:w="919"/>
      </w:tblGrid>
      <w:tr w:rsidR="006347EF" w:rsidRPr="006347EF" w:rsidTr="006347EF">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bookmarkStart w:id="24" w:name="IDX25"/>
            <w:bookmarkEnd w:id="24"/>
            <w:r w:rsidRPr="006347EF">
              <w:rPr>
                <w:rFonts w:ascii="Arial" w:eastAsia="Times New Roman" w:hAnsi="Arial" w:cs="Arial"/>
                <w:b/>
                <w:bCs/>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shd w:val="clear" w:color="auto" w:fill="E0E0E0"/>
              </w:rPr>
              <w:t>All School</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shd w:val="clear" w:color="auto" w:fill="E0E0E0"/>
              </w:rPr>
              <w:t>High-Poverty Schools</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shd w:val="clear" w:color="auto" w:fill="E0E0E0"/>
              </w:rPr>
              <w:t>Low-Poverty Schools</w:t>
            </w:r>
          </w:p>
        </w:tc>
      </w:tr>
      <w:tr w:rsidR="006347EF" w:rsidRPr="006347EF" w:rsidTr="006347EF">
        <w:trPr>
          <w:tblHeader/>
          <w:tblCellSpacing w:w="0" w:type="dxa"/>
          <w:jc w:val="center"/>
        </w:trPr>
        <w:tc>
          <w:tcPr>
            <w:tcW w:w="6480"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Number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Percent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Number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Percent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Number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Percent</w:t>
            </w:r>
          </w:p>
        </w:tc>
      </w:tr>
      <w:tr w:rsidR="006347EF" w:rsidRPr="006347EF" w:rsidTr="006347EF">
        <w:trPr>
          <w:tblCellSpacing w:w="0" w:type="dxa"/>
          <w:jc w:val="center"/>
        </w:trPr>
        <w:tc>
          <w:tcPr>
            <w:tcW w:w="64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Inexperienced Teachers, Principals, and Other School Leaders</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63.3</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23.3%</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0.0</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64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Teachers Teaching with Emergency or Provisional Credentials</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9.0</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0.0</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1152" w:type="dxa"/>
            <w:tcBorders>
              <w:top w:val="outset" w:sz="6" w:space="0" w:color="000000"/>
              <w:left w:val="outset" w:sz="6" w:space="0" w:color="000000"/>
              <w:bottom w:val="outset" w:sz="6" w:space="0" w:color="000000"/>
              <w:right w:val="outset" w:sz="6"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6480" w:type="dxa"/>
            <w:tcBorders>
              <w:top w:val="outset" w:sz="2" w:space="0" w:color="000000"/>
              <w:left w:val="outset" w:sz="2" w:space="0" w:color="000000"/>
              <w:bottom w:val="outset" w:sz="6" w:space="0" w:color="000000"/>
              <w:right w:val="outset" w:sz="2"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Teacher Who Are Not Teaching in the Subject or Field for Which the Teacher is Certified or Licensed</w:t>
            </w:r>
          </w:p>
        </w:tc>
        <w:tc>
          <w:tcPr>
            <w:tcW w:w="1152" w:type="dxa"/>
            <w:tcBorders>
              <w:top w:val="outset" w:sz="2" w:space="0" w:color="000000"/>
              <w:left w:val="outset" w:sz="2" w:space="0" w:color="000000"/>
              <w:bottom w:val="outset" w:sz="6" w:space="0" w:color="000000"/>
              <w:right w:val="outset" w:sz="2"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49.0</w:t>
            </w:r>
          </w:p>
        </w:tc>
        <w:tc>
          <w:tcPr>
            <w:tcW w:w="1152" w:type="dxa"/>
            <w:tcBorders>
              <w:top w:val="outset" w:sz="2" w:space="0" w:color="000000"/>
              <w:left w:val="outset" w:sz="2" w:space="0" w:color="000000"/>
              <w:bottom w:val="outset" w:sz="6" w:space="0" w:color="000000"/>
              <w:right w:val="outset" w:sz="2"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19.4%</w:t>
            </w:r>
          </w:p>
        </w:tc>
        <w:tc>
          <w:tcPr>
            <w:tcW w:w="1152" w:type="dxa"/>
            <w:tcBorders>
              <w:top w:val="outset" w:sz="2" w:space="0" w:color="000000"/>
              <w:left w:val="outset" w:sz="2" w:space="0" w:color="000000"/>
              <w:bottom w:val="outset" w:sz="6" w:space="0" w:color="000000"/>
              <w:right w:val="outset" w:sz="2"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0.0</w:t>
            </w:r>
          </w:p>
        </w:tc>
        <w:tc>
          <w:tcPr>
            <w:tcW w:w="1152" w:type="dxa"/>
            <w:tcBorders>
              <w:top w:val="outset" w:sz="2" w:space="0" w:color="000000"/>
              <w:left w:val="outset" w:sz="2" w:space="0" w:color="000000"/>
              <w:bottom w:val="outset" w:sz="6" w:space="0" w:color="000000"/>
              <w:right w:val="outset" w:sz="2"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2" w:space="0" w:color="000000"/>
              <w:left w:val="outset" w:sz="2" w:space="0" w:color="000000"/>
              <w:bottom w:val="outset" w:sz="6" w:space="0" w:color="000000"/>
              <w:right w:val="outset" w:sz="2"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c>
          <w:tcPr>
            <w:tcW w:w="1152" w:type="dxa"/>
            <w:tcBorders>
              <w:top w:val="outset" w:sz="2" w:space="0" w:color="000000"/>
              <w:left w:val="outset" w:sz="2" w:space="0" w:color="000000"/>
              <w:bottom w:val="outset" w:sz="6" w:space="0" w:color="000000"/>
              <w:right w:val="outset" w:sz="2" w:space="0" w:color="000000"/>
            </w:tcBorders>
            <w:shd w:val="clear" w:color="auto" w:fill="F4F4F4"/>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t> </w:t>
            </w:r>
            <w:r w:rsidRPr="006347EF">
              <w:rPr>
                <w:rFonts w:ascii="Arial" w:eastAsia="Times New Roman" w:hAnsi="Arial" w:cs="Arial"/>
                <w:sz w:val="18"/>
                <w:szCs w:val="18"/>
              </w:rPr>
              <w:br/>
              <w:t>'-'       Indicates there are no data available in the group.</w:t>
            </w:r>
            <w:r w:rsidRPr="006347EF">
              <w:rPr>
                <w:rFonts w:ascii="Arial" w:eastAsia="Times New Roman" w:hAnsi="Arial" w:cs="Arial"/>
                <w:sz w:val="18"/>
                <w:szCs w:val="18"/>
              </w:rPr>
              <w:br/>
              <w:t>         Blank cell Indicates data are not applicable to this report.</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20"/>
                <w:szCs w:val="20"/>
              </w:rPr>
            </w:pPr>
            <w:bookmarkStart w:id="25" w:name="IDX26"/>
            <w:bookmarkEnd w:id="25"/>
            <w:r w:rsidRPr="006347EF">
              <w:rPr>
                <w:rFonts w:ascii="Arial" w:eastAsia="Times New Roman" w:hAnsi="Arial" w:cs="Arial"/>
                <w:sz w:val="20"/>
                <w:szCs w:val="20"/>
              </w:rPr>
              <w:t> </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20"/>
                <w:szCs w:val="20"/>
              </w:rPr>
            </w:pPr>
            <w:r w:rsidRPr="006347EF">
              <w:rPr>
                <w:rFonts w:ascii="Arial" w:eastAsia="Times New Roman" w:hAnsi="Arial" w:cs="Arial"/>
                <w:sz w:val="20"/>
                <w:szCs w:val="20"/>
              </w:rPr>
              <w:t>Source: TEA Division of Research and Analysis</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bookmarkStart w:id="26" w:name="IDX27"/>
            <w:bookmarkEnd w:id="26"/>
            <w:r w:rsidRPr="006347EF">
              <w:rPr>
                <w:rFonts w:ascii="Arial" w:eastAsia="Times New Roman" w:hAnsi="Arial" w:cs="Arial"/>
                <w:b/>
                <w:bCs/>
                <w:color w:val="FFFFFF"/>
                <w:sz w:val="18"/>
                <w:szCs w:val="18"/>
              </w:rPr>
              <w:t>Part (x): </w:t>
            </w:r>
            <w:r w:rsidRPr="006347EF">
              <w:rPr>
                <w:rFonts w:ascii="Arial" w:eastAsia="Times New Roman" w:hAnsi="Arial" w:cs="Arial"/>
                <w:color w:val="FFFFFF"/>
                <w:sz w:val="18"/>
                <w:szCs w:val="18"/>
              </w:rPr>
              <w:t>Per-pupil Expenditure</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This section provides information on the per-pupil expenditures of federal, state, and local funds, including actual personnel expenditures and actual non-personnel expenditures, disaggregated by source of funds, for each school district and campus for the preceding fiscal year.</w:t>
            </w:r>
            <w:r w:rsidRPr="006347EF">
              <w:rPr>
                <w:rFonts w:ascii="Arial" w:eastAsia="Times New Roman" w:hAnsi="Arial" w:cs="Arial"/>
                <w:sz w:val="18"/>
                <w:szCs w:val="18"/>
              </w:rPr>
              <w:br/>
            </w:r>
            <w:r w:rsidRPr="006347EF">
              <w:rPr>
                <w:rFonts w:ascii="Arial" w:eastAsia="Times New Roman" w:hAnsi="Arial" w:cs="Arial"/>
                <w:sz w:val="18"/>
                <w:szCs w:val="18"/>
              </w:rPr>
              <w:br/>
              <w:t>The Public Education Information Management System (PEIMS) encompasses all data requested and received by Texas Education Agency (TEA) about public education, including student demographic and academic performance, personnel, financial, and organizational information. The submission of PEIMS data is required of all local education agencies (LEAs).</w:t>
            </w:r>
            <w:r w:rsidRPr="006347EF">
              <w:rPr>
                <w:rFonts w:ascii="Arial" w:eastAsia="Times New Roman" w:hAnsi="Arial" w:cs="Arial"/>
                <w:sz w:val="18"/>
                <w:szCs w:val="18"/>
              </w:rPr>
              <w:br/>
            </w:r>
            <w:r w:rsidRPr="006347EF">
              <w:rPr>
                <w:rFonts w:ascii="Arial" w:eastAsia="Times New Roman" w:hAnsi="Arial" w:cs="Arial"/>
                <w:sz w:val="18"/>
                <w:szCs w:val="18"/>
              </w:rPr>
              <w:br/>
              <w:t>The TEA will utilize PEIMS submissions to develop and report the per-pupil expenditures of Federal, State, and local funds, including actual personnel expenditures and actual non-personnel expenditures of Federal, State, and local funds, disaggregated by source of funds, for each LEA and each school in the State for the preceding fiscal year; the data will be reported on 2018-2019 school year report cards.</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bookmarkStart w:id="27" w:name="IDX28"/>
            <w:bookmarkEnd w:id="27"/>
            <w:r w:rsidRPr="006347EF">
              <w:rPr>
                <w:rFonts w:ascii="Arial" w:eastAsia="Times New Roman" w:hAnsi="Arial" w:cs="Arial"/>
                <w:b/>
                <w:bCs/>
                <w:color w:val="FFFFFF"/>
                <w:sz w:val="18"/>
                <w:szCs w:val="18"/>
              </w:rPr>
              <w:t>Part (xi): </w:t>
            </w:r>
            <w:r w:rsidRPr="006347EF">
              <w:rPr>
                <w:rFonts w:ascii="Arial" w:eastAsia="Times New Roman" w:hAnsi="Arial" w:cs="Arial"/>
                <w:color w:val="FFFFFF"/>
                <w:sz w:val="18"/>
                <w:szCs w:val="18"/>
              </w:rPr>
              <w:t>STAAR Alternate 2 Participation</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This section provides information on the number and percentage of students with the most-significant cognitive disabilities who take STAAR Alternate 2, by grade and subject.</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1728"/>
        <w:gridCol w:w="1342"/>
        <w:gridCol w:w="1184"/>
        <w:gridCol w:w="1310"/>
        <w:gridCol w:w="1254"/>
        <w:gridCol w:w="1286"/>
        <w:gridCol w:w="1240"/>
      </w:tblGrid>
      <w:tr w:rsidR="006347EF" w:rsidRPr="006347EF" w:rsidTr="006347EF">
        <w:trPr>
          <w:tblHeade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bookmarkStart w:id="28" w:name="IDX29"/>
            <w:bookmarkEnd w:id="28"/>
            <w:r w:rsidRPr="006347EF">
              <w:rPr>
                <w:rFonts w:ascii="Arial" w:eastAsia="Times New Roman" w:hAnsi="Arial" w:cs="Arial"/>
                <w:b/>
                <w:bCs/>
                <w:sz w:val="18"/>
                <w:szCs w:val="18"/>
              </w:rPr>
              <w:lastRenderedPageBreak/>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State</w:t>
            </w:r>
            <w:r w:rsidRPr="006347EF">
              <w:rPr>
                <w:rFonts w:ascii="Arial" w:eastAsia="Times New Roman" w:hAnsi="Arial" w:cs="Arial"/>
                <w:b/>
                <w:bCs/>
                <w:sz w:val="18"/>
                <w:szCs w:val="18"/>
              </w:rPr>
              <w:br/>
              <w:t>Number of ALT2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State</w:t>
            </w:r>
            <w:r w:rsidRPr="006347EF">
              <w:rPr>
                <w:rFonts w:ascii="Arial" w:eastAsia="Times New Roman" w:hAnsi="Arial" w:cs="Arial"/>
                <w:b/>
                <w:bCs/>
                <w:sz w:val="18"/>
                <w:szCs w:val="18"/>
              </w:rPr>
              <w:br/>
              <w:t>Rate of ALT2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Region</w:t>
            </w:r>
            <w:r w:rsidRPr="006347EF">
              <w:rPr>
                <w:rFonts w:ascii="Arial" w:eastAsia="Times New Roman" w:hAnsi="Arial" w:cs="Arial"/>
                <w:b/>
                <w:bCs/>
                <w:sz w:val="18"/>
                <w:szCs w:val="18"/>
              </w:rPr>
              <w:br/>
              <w:t>18</w:t>
            </w:r>
            <w:r w:rsidRPr="006347EF">
              <w:rPr>
                <w:rFonts w:ascii="Arial" w:eastAsia="Times New Roman" w:hAnsi="Arial" w:cs="Arial"/>
                <w:b/>
                <w:bCs/>
                <w:sz w:val="18"/>
                <w:szCs w:val="18"/>
              </w:rPr>
              <w:br/>
              <w:t>Number of ALT2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Region</w:t>
            </w:r>
            <w:r w:rsidRPr="006347EF">
              <w:rPr>
                <w:rFonts w:ascii="Arial" w:eastAsia="Times New Roman" w:hAnsi="Arial" w:cs="Arial"/>
                <w:b/>
                <w:bCs/>
                <w:sz w:val="18"/>
                <w:szCs w:val="18"/>
              </w:rPr>
              <w:br/>
              <w:t>18</w:t>
            </w:r>
            <w:r w:rsidRPr="006347EF">
              <w:rPr>
                <w:rFonts w:ascii="Arial" w:eastAsia="Times New Roman" w:hAnsi="Arial" w:cs="Arial"/>
                <w:b/>
                <w:bCs/>
                <w:sz w:val="18"/>
                <w:szCs w:val="18"/>
              </w:rPr>
              <w:br/>
              <w:t>Rate of ALT2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District</w:t>
            </w:r>
            <w:r w:rsidRPr="006347EF">
              <w:rPr>
                <w:rFonts w:ascii="Arial" w:eastAsia="Times New Roman" w:hAnsi="Arial" w:cs="Arial"/>
                <w:b/>
                <w:bCs/>
                <w:sz w:val="18"/>
                <w:szCs w:val="18"/>
              </w:rPr>
              <w:br/>
              <w:t>Number of ALT2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District</w:t>
            </w:r>
            <w:r w:rsidRPr="006347EF">
              <w:rPr>
                <w:rFonts w:ascii="Arial" w:eastAsia="Times New Roman" w:hAnsi="Arial" w:cs="Arial"/>
                <w:b/>
                <w:bCs/>
                <w:sz w:val="18"/>
                <w:szCs w:val="18"/>
              </w:rPr>
              <w:br/>
              <w:t>Rate of ALT2</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3</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6,019</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107</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14</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6,020</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107</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14</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4</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6,061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6,056</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5</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6,162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6,160</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6,164</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9</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6</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5,678</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5,677</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7</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5,298</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5,294</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Grade 8</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5,088</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5,087</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10</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5,087</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4%</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End of Course</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English I</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4,868</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0%</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English II</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4,556</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Algebra I</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4,884</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5</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Biology</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4,861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Grades</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All Subjects</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99,020</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1,385</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162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Reading</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43,730</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613</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71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Mathematics</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39,178</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67</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3%</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Science</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16,112</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220</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24</w:t>
            </w:r>
          </w:p>
        </w:tc>
        <w:tc>
          <w:tcPr>
            <w:tcW w:w="1728"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2%</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r>
      <w:tr w:rsidR="006347EF" w:rsidRPr="006347EF" w:rsidTr="006347EF">
        <w:trPr>
          <w:tblCellSpacing w:w="0" w:type="dxa"/>
          <w:jc w:val="center"/>
        </w:trPr>
        <w:tc>
          <w:tcPr>
            <w:tcW w:w="0" w:type="auto"/>
            <w:gridSpan w:val="7"/>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t> </w:t>
            </w:r>
            <w:r w:rsidRPr="006347EF">
              <w:rPr>
                <w:rFonts w:ascii="Arial" w:eastAsia="Times New Roman" w:hAnsi="Arial" w:cs="Arial"/>
                <w:sz w:val="18"/>
                <w:szCs w:val="18"/>
              </w:rPr>
              <w:br/>
              <w:t>'*'       Indicates results are masked due to small numbers to protect student confidentiality.</w:t>
            </w:r>
            <w:r w:rsidRPr="006347EF">
              <w:rPr>
                <w:rFonts w:ascii="Arial" w:eastAsia="Times New Roman" w:hAnsi="Arial" w:cs="Arial"/>
                <w:sz w:val="18"/>
                <w:szCs w:val="18"/>
              </w:rPr>
              <w:br/>
              <w:t>'-'       Indicates zero observations reported for this group.</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bookmarkStart w:id="29" w:name="IDX30"/>
            <w:bookmarkEnd w:id="29"/>
            <w:r w:rsidRPr="006347EF">
              <w:rPr>
                <w:rFonts w:ascii="Arial" w:eastAsia="Times New Roman" w:hAnsi="Arial" w:cs="Arial"/>
                <w:b/>
                <w:bCs/>
                <w:color w:val="FFFFFF"/>
                <w:sz w:val="18"/>
                <w:szCs w:val="18"/>
              </w:rPr>
              <w:t>Part (xii): </w:t>
            </w:r>
            <w:r w:rsidRPr="006347EF">
              <w:rPr>
                <w:rFonts w:ascii="Arial" w:eastAsia="Times New Roman" w:hAnsi="Arial" w:cs="Arial"/>
                <w:color w:val="FFFFFF"/>
                <w:sz w:val="18"/>
                <w:szCs w:val="18"/>
              </w:rPr>
              <w:t>Statewide National Assessment of Educational Progress (NAEP)</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This section provides results on the state academic assessments in reading and mathematics in grades 4 and 8 of the National Assessment of Educational Progress, compared to the national average of such results.</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Page Layout"/>
      </w:tblPr>
      <w:tblGrid>
        <w:gridCol w:w="9360"/>
      </w:tblGrid>
      <w:tr w:rsidR="006347EF" w:rsidRPr="006347EF" w:rsidTr="006347EF">
        <w:trPr>
          <w:tblCellSpacing w:w="15" w:type="dxa"/>
        </w:trPr>
        <w:tc>
          <w:tcPr>
            <w:tcW w:w="0" w:type="auto"/>
            <w:hideMark/>
          </w:tcPr>
          <w:p w:rsidR="006347EF" w:rsidRPr="006347EF" w:rsidRDefault="006347EF" w:rsidP="006347EF">
            <w:pPr>
              <w:spacing w:after="0" w:line="240" w:lineRule="auto"/>
              <w:jc w:val="center"/>
              <w:rPr>
                <w:rFonts w:ascii="Arial" w:eastAsia="Times New Roman" w:hAnsi="Arial" w:cs="Arial"/>
                <w:b/>
                <w:bCs/>
                <w:sz w:val="18"/>
                <w:szCs w:val="18"/>
              </w:rPr>
            </w:pPr>
            <w:bookmarkStart w:id="30" w:name="IDX31"/>
            <w:bookmarkEnd w:id="30"/>
            <w:r w:rsidRPr="006347EF">
              <w:rPr>
                <w:rFonts w:ascii="Arial" w:eastAsia="Times New Roman" w:hAnsi="Arial" w:cs="Arial"/>
                <w:b/>
                <w:bCs/>
                <w:sz w:val="18"/>
                <w:szCs w:val="18"/>
              </w:rPr>
              <w:t>State Level: 2017 Participation Rates for Students with Disabilities and Limited English Proficient Students</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18"/>
        <w:gridCol w:w="1211"/>
        <w:gridCol w:w="1712"/>
        <w:gridCol w:w="636"/>
        <w:gridCol w:w="645"/>
        <w:gridCol w:w="643"/>
        <w:gridCol w:w="649"/>
        <w:gridCol w:w="745"/>
        <w:gridCol w:w="711"/>
        <w:gridCol w:w="761"/>
        <w:gridCol w:w="713"/>
      </w:tblGrid>
      <w:tr w:rsidR="006347EF" w:rsidRPr="006347EF" w:rsidTr="006347EF">
        <w:trPr>
          <w:tblHeade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shd w:val="clear" w:color="auto" w:fill="E0E0E0"/>
              </w:rPr>
              <w:t>% Below Basic</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shd w:val="clear" w:color="auto" w:fill="E0E0E0"/>
              </w:rPr>
              <w:t>% At or Above Basic</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shd w:val="clear" w:color="auto" w:fill="E0E0E0"/>
              </w:rPr>
              <w:t>% At or Above Proficient</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shd w:val="clear" w:color="auto" w:fill="E0E0E0"/>
              </w:rPr>
              <w:t>% At Advanced</w:t>
            </w:r>
          </w:p>
        </w:tc>
      </w:tr>
      <w:tr w:rsidR="006347EF" w:rsidRPr="006347EF" w:rsidTr="006347EF">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Grade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Subject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Student Group</w:t>
            </w:r>
          </w:p>
        </w:tc>
        <w:tc>
          <w:tcPr>
            <w:tcW w:w="1152"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TX</w:t>
            </w:r>
          </w:p>
        </w:tc>
        <w:tc>
          <w:tcPr>
            <w:tcW w:w="1152"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US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TX</w:t>
            </w:r>
          </w:p>
        </w:tc>
        <w:tc>
          <w:tcPr>
            <w:tcW w:w="1152"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US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TX</w:t>
            </w:r>
          </w:p>
        </w:tc>
        <w:tc>
          <w:tcPr>
            <w:tcW w:w="1152"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US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TX</w:t>
            </w:r>
          </w:p>
        </w:tc>
        <w:tc>
          <w:tcPr>
            <w:tcW w:w="1152"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US</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Grade 4</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Reading</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Overall</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Black</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Hispanic</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White</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American Indian</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Asian</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Pacific Islander</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Two or More Races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Econ Disadv</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Students with Disabilities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English Language Learners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r>
      <w:tr w:rsidR="006347EF" w:rsidRPr="006347EF" w:rsidTr="006347EF">
        <w:trPr>
          <w:tblCellSpacing w:w="0" w:type="dxa"/>
          <w:jc w:val="center"/>
        </w:trPr>
        <w:tc>
          <w:tcPr>
            <w:tcW w:w="0" w:type="auto"/>
            <w:gridSpan w:val="11"/>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Mathematics</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Overall</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Black</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Hispanic</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White</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American Indian</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Asian</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Pacific Islander</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Two or More Races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Econ Disadv</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Students with Disabilities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English Language Learners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r>
      <w:tr w:rsidR="006347EF" w:rsidRPr="006347EF" w:rsidTr="006347EF">
        <w:trPr>
          <w:tblCellSpacing w:w="0" w:type="dxa"/>
          <w:jc w:val="center"/>
        </w:trPr>
        <w:tc>
          <w:tcPr>
            <w:tcW w:w="0" w:type="auto"/>
            <w:gridSpan w:val="11"/>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Grade 8</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Reading</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Overall</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Black</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n/a</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Hispanic</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White</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American Indian</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Asian</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Pacific Islander</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Two or More Races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Econ Disadv</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Students with Disabilities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n/a</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English Language Learners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n/a</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n/a</w:t>
            </w:r>
          </w:p>
        </w:tc>
      </w:tr>
      <w:tr w:rsidR="006347EF" w:rsidRPr="006347EF" w:rsidTr="006347EF">
        <w:trPr>
          <w:tblCellSpacing w:w="0" w:type="dxa"/>
          <w:jc w:val="center"/>
        </w:trPr>
        <w:tc>
          <w:tcPr>
            <w:tcW w:w="0" w:type="auto"/>
            <w:gridSpan w:val="11"/>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Mathematics</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Overall</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10</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Black</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Hispanic</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White</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American Indian</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Asian</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Pacific Islander</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Two or More Races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24</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Econ Disadv</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45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20</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Students with Disabilities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78</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73</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22</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5</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English Language Learners</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39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29</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6</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c>
          <w:tcPr>
            <w:tcW w:w="1152"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1</w:t>
            </w:r>
          </w:p>
        </w:tc>
      </w:tr>
      <w:tr w:rsidR="006347EF" w:rsidRPr="006347EF" w:rsidTr="006347EF">
        <w:trPr>
          <w:tblCellSpacing w:w="0" w:type="dxa"/>
          <w:jc w:val="center"/>
        </w:trPr>
        <w:tc>
          <w:tcPr>
            <w:tcW w:w="0" w:type="auto"/>
            <w:gridSpan w:val="11"/>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Page Layout"/>
      </w:tblPr>
      <w:tblGrid>
        <w:gridCol w:w="9360"/>
      </w:tblGrid>
      <w:tr w:rsidR="006347EF" w:rsidRPr="006347EF" w:rsidTr="006347EF">
        <w:trPr>
          <w:tblCellSpacing w:w="15" w:type="dxa"/>
        </w:trPr>
        <w:tc>
          <w:tcPr>
            <w:tcW w:w="0" w:type="auto"/>
            <w:hideMark/>
          </w:tcPr>
          <w:p w:rsidR="006347EF" w:rsidRPr="006347EF" w:rsidRDefault="006347EF" w:rsidP="006347EF">
            <w:pPr>
              <w:spacing w:after="0" w:line="240" w:lineRule="auto"/>
              <w:jc w:val="center"/>
              <w:rPr>
                <w:rFonts w:ascii="Arial" w:eastAsia="Times New Roman" w:hAnsi="Arial" w:cs="Arial"/>
                <w:b/>
                <w:bCs/>
                <w:sz w:val="18"/>
                <w:szCs w:val="18"/>
              </w:rPr>
            </w:pPr>
            <w:bookmarkStart w:id="31" w:name="IDX32"/>
            <w:bookmarkEnd w:id="31"/>
            <w:r w:rsidRPr="006347EF">
              <w:rPr>
                <w:rFonts w:ascii="Arial" w:eastAsia="Times New Roman" w:hAnsi="Arial" w:cs="Arial"/>
                <w:b/>
                <w:bCs/>
                <w:sz w:val="18"/>
                <w:szCs w:val="18"/>
              </w:rPr>
              <w:t>State Level: 2017 Participation Rates for Students with Disabilities and Limited English Proficient Students</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1440"/>
        <w:gridCol w:w="1440"/>
        <w:gridCol w:w="2880"/>
        <w:gridCol w:w="1440"/>
      </w:tblGrid>
      <w:tr w:rsidR="006347EF" w:rsidRPr="006347EF" w:rsidTr="006347EF">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Grade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Subject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rPr>
                <w:rFonts w:ascii="Arial" w:eastAsia="Times New Roman" w:hAnsi="Arial" w:cs="Arial"/>
                <w:b/>
                <w:bCs/>
                <w:sz w:val="18"/>
                <w:szCs w:val="18"/>
              </w:rPr>
            </w:pPr>
            <w:r w:rsidRPr="006347EF">
              <w:rPr>
                <w:rFonts w:ascii="Arial" w:eastAsia="Times New Roman" w:hAnsi="Arial" w:cs="Arial"/>
                <w:b/>
                <w:bCs/>
                <w:sz w:val="18"/>
                <w:szCs w:val="18"/>
              </w:rPr>
              <w:t>Student Group</w:t>
            </w:r>
          </w:p>
        </w:tc>
        <w:tc>
          <w:tcPr>
            <w:tcW w:w="1440"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6347EF" w:rsidRPr="006347EF" w:rsidRDefault="006347EF" w:rsidP="006347EF">
            <w:pPr>
              <w:spacing w:after="0" w:line="240" w:lineRule="auto"/>
              <w:jc w:val="center"/>
              <w:rPr>
                <w:rFonts w:ascii="Arial" w:eastAsia="Times New Roman" w:hAnsi="Arial" w:cs="Arial"/>
                <w:b/>
                <w:bCs/>
                <w:sz w:val="18"/>
                <w:szCs w:val="18"/>
              </w:rPr>
            </w:pPr>
            <w:r w:rsidRPr="006347EF">
              <w:rPr>
                <w:rFonts w:ascii="Arial" w:eastAsia="Times New Roman" w:hAnsi="Arial" w:cs="Arial"/>
                <w:b/>
                <w:bCs/>
                <w:sz w:val="18"/>
                <w:szCs w:val="18"/>
              </w:rPr>
              <w:t>Rate</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Grade 4</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Reading</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Students with Disabilities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English Learners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Mathematics</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Students with Disabilities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79%</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English Learners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Grade 8</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Reading</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Students with Disabilities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81%</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English Learners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94%</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Mathematics</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Students with Disabilities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82%</w:t>
            </w:r>
          </w:p>
        </w:tc>
      </w:tr>
      <w:tr w:rsidR="006347EF" w:rsidRPr="006347EF" w:rsidTr="006347EF">
        <w:trPr>
          <w:tblCellSpacing w:w="0" w:type="dxa"/>
          <w:jc w:val="center"/>
        </w:trPr>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English Learners</w:t>
            </w:r>
          </w:p>
        </w:tc>
        <w:tc>
          <w:tcPr>
            <w:tcW w:w="1440" w:type="dxa"/>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jc w:val="center"/>
              <w:rPr>
                <w:rFonts w:ascii="Arial" w:eastAsia="Times New Roman" w:hAnsi="Arial" w:cs="Arial"/>
                <w:sz w:val="18"/>
                <w:szCs w:val="18"/>
              </w:rPr>
            </w:pPr>
            <w:r w:rsidRPr="006347EF">
              <w:rPr>
                <w:rFonts w:ascii="Arial" w:eastAsia="Times New Roman" w:hAnsi="Arial" w:cs="Arial"/>
                <w:sz w:val="18"/>
                <w:szCs w:val="18"/>
              </w:rPr>
              <w:t>96%</w:t>
            </w:r>
          </w:p>
        </w:tc>
      </w:tr>
      <w:tr w:rsidR="006347EF" w:rsidRPr="006347EF" w:rsidTr="006347EF">
        <w:trPr>
          <w:tblCellSpacing w:w="0" w:type="dxa"/>
          <w:jc w:val="center"/>
        </w:trPr>
        <w:tc>
          <w:tcPr>
            <w:tcW w:w="0" w:type="auto"/>
            <w:gridSpan w:val="4"/>
            <w:tcBorders>
              <w:top w:val="outset" w:sz="6" w:space="0" w:color="000000"/>
              <w:left w:val="outset" w:sz="6" w:space="0" w:color="000000"/>
              <w:bottom w:val="outset" w:sz="6" w:space="0" w:color="000000"/>
              <w:right w:val="outset" w:sz="6" w:space="0" w:color="000000"/>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t> </w:t>
            </w:r>
            <w:r w:rsidRPr="006347EF">
              <w:rPr>
                <w:rFonts w:ascii="Arial" w:eastAsia="Times New Roman" w:hAnsi="Arial" w:cs="Arial"/>
                <w:sz w:val="18"/>
                <w:szCs w:val="18"/>
              </w:rPr>
              <w:br/>
              <w:t> </w:t>
            </w:r>
            <w:r w:rsidRPr="006347EF">
              <w:rPr>
                <w:rFonts w:ascii="Arial" w:eastAsia="Times New Roman" w:hAnsi="Arial" w:cs="Arial"/>
                <w:sz w:val="18"/>
                <w:szCs w:val="18"/>
              </w:rPr>
              <w:br/>
              <w:t> </w:t>
            </w:r>
            <w:r w:rsidRPr="006347EF">
              <w:rPr>
                <w:rFonts w:ascii="Arial" w:eastAsia="Times New Roman" w:hAnsi="Arial" w:cs="Arial"/>
                <w:sz w:val="18"/>
                <w:szCs w:val="18"/>
              </w:rPr>
              <w:br/>
              <w:t>'*'       Indicates reporting standards not met.</w:t>
            </w:r>
            <w:r w:rsidRPr="006347EF">
              <w:rPr>
                <w:rFonts w:ascii="Arial" w:eastAsia="Times New Roman" w:hAnsi="Arial" w:cs="Arial"/>
                <w:sz w:val="18"/>
                <w:szCs w:val="18"/>
              </w:rPr>
              <w:br/>
              <w:t>'n/a'   Indicates data reporting is not applicable for this group.</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20"/>
                <w:szCs w:val="20"/>
              </w:rPr>
            </w:pPr>
            <w:bookmarkStart w:id="32" w:name="IDX33"/>
            <w:bookmarkEnd w:id="32"/>
            <w:r w:rsidRPr="006347EF">
              <w:rPr>
                <w:rFonts w:ascii="Arial" w:eastAsia="Times New Roman" w:hAnsi="Arial" w:cs="Arial"/>
                <w:sz w:val="20"/>
                <w:szCs w:val="20"/>
              </w:rPr>
              <w:t> </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20"/>
                <w:szCs w:val="20"/>
              </w:rPr>
            </w:pPr>
            <w:r w:rsidRPr="006347EF">
              <w:rPr>
                <w:rFonts w:ascii="Arial" w:eastAsia="Times New Roman" w:hAnsi="Arial" w:cs="Arial"/>
                <w:sz w:val="20"/>
                <w:szCs w:val="20"/>
              </w:rPr>
              <w:t>Source: TEA Division of Student Assessment</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firstRow="1" w:lastRow="0" w:firstColumn="1" w:lastColumn="0" w:noHBand="0" w:noVBand="1"/>
        <w:tblDescription w:val="Procedure Report: Detailed and/or summarized report"/>
      </w:tblPr>
      <w:tblGrid>
        <w:gridCol w:w="9360"/>
      </w:tblGrid>
      <w:tr w:rsidR="006347EF" w:rsidRPr="006347EF" w:rsidTr="006347EF">
        <w:trPr>
          <w:tblCellSpacing w:w="0" w:type="dxa"/>
          <w:jc w:val="center"/>
        </w:trPr>
        <w:tc>
          <w:tcPr>
            <w:tcW w:w="0" w:type="auto"/>
            <w:tcBorders>
              <w:top w:val="nil"/>
              <w:left w:val="nil"/>
              <w:bottom w:val="nil"/>
              <w:right w:val="nil"/>
            </w:tcBorders>
            <w:shd w:val="clear" w:color="auto" w:fill="3465AA"/>
            <w:hideMark/>
          </w:tcPr>
          <w:p w:rsidR="006347EF" w:rsidRPr="006347EF" w:rsidRDefault="006347EF" w:rsidP="006347EF">
            <w:pPr>
              <w:spacing w:after="0" w:line="240" w:lineRule="auto"/>
              <w:rPr>
                <w:rFonts w:ascii="Arial" w:eastAsia="Times New Roman" w:hAnsi="Arial" w:cs="Arial"/>
                <w:color w:val="FFFFFF"/>
                <w:sz w:val="18"/>
                <w:szCs w:val="18"/>
              </w:rPr>
            </w:pPr>
            <w:bookmarkStart w:id="33" w:name="IDX34"/>
            <w:bookmarkEnd w:id="33"/>
            <w:r w:rsidRPr="006347EF">
              <w:rPr>
                <w:rFonts w:ascii="Arial" w:eastAsia="Times New Roman" w:hAnsi="Arial" w:cs="Arial"/>
                <w:b/>
                <w:bCs/>
                <w:color w:val="FFFFFF"/>
                <w:sz w:val="18"/>
                <w:szCs w:val="18"/>
              </w:rPr>
              <w:t>Part (xiii): </w:t>
            </w:r>
            <w:r w:rsidRPr="006347EF">
              <w:rPr>
                <w:rFonts w:ascii="Arial" w:eastAsia="Times New Roman" w:hAnsi="Arial" w:cs="Arial"/>
                <w:color w:val="FFFFFF"/>
                <w:sz w:val="18"/>
                <w:szCs w:val="18"/>
              </w:rPr>
              <w:t>Cohort Rate of Graduates Enrolled in Postsecondary Education</w:t>
            </w:r>
          </w:p>
        </w:tc>
      </w:tr>
      <w:tr w:rsidR="006347EF" w:rsidRPr="006347EF" w:rsidTr="006347EF">
        <w:trPr>
          <w:tblCellSpacing w:w="0" w:type="dxa"/>
          <w:jc w:val="center"/>
        </w:trPr>
        <w:tc>
          <w:tcPr>
            <w:tcW w:w="18720" w:type="dxa"/>
            <w:tcBorders>
              <w:top w:val="nil"/>
              <w:left w:val="nil"/>
              <w:bottom w:val="nil"/>
              <w:right w:val="nil"/>
            </w:tcBorders>
            <w:shd w:val="clear" w:color="auto" w:fill="FFFFFF"/>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br/>
              <w:t>This section provides information on the cohort rate at which students who graduate from the high school enroll, for the first academic year that begins after the student's graduation, in (I) programs of public postsecondary education in Texas; and (II) programs of private postsecondary education in Texas or programs of postsecondary education outside Texas.</w:t>
            </w:r>
            <w:r w:rsidRPr="006347EF">
              <w:rPr>
                <w:rFonts w:ascii="Arial" w:eastAsia="Times New Roman" w:hAnsi="Arial" w:cs="Arial"/>
                <w:sz w:val="18"/>
                <w:szCs w:val="18"/>
              </w:rPr>
              <w:br/>
            </w:r>
            <w:r w:rsidRPr="006347EF">
              <w:rPr>
                <w:rFonts w:ascii="Arial" w:eastAsia="Times New Roman" w:hAnsi="Arial" w:cs="Arial"/>
                <w:sz w:val="18"/>
                <w:szCs w:val="18"/>
              </w:rPr>
              <w:br/>
              <w:t>Data are not available.</w:t>
            </w:r>
          </w:p>
        </w:tc>
      </w:tr>
    </w:tbl>
    <w:p w:rsidR="006347EF" w:rsidRPr="006347EF" w:rsidRDefault="006347EF" w:rsidP="006347EF">
      <w:pPr>
        <w:spacing w:after="0" w:line="240" w:lineRule="auto"/>
        <w:rPr>
          <w:rFonts w:ascii="Times New Roman" w:eastAsia="Times New Roman" w:hAnsi="Times New Roman" w:cs="Times New Roman"/>
          <w:color w:val="000000"/>
          <w:sz w:val="27"/>
          <w:szCs w:val="27"/>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Page Layout"/>
      </w:tblPr>
      <w:tblGrid>
        <w:gridCol w:w="4748"/>
        <w:gridCol w:w="4612"/>
      </w:tblGrid>
      <w:tr w:rsidR="006347EF" w:rsidRPr="006347EF" w:rsidTr="006347EF">
        <w:trPr>
          <w:tblCellSpacing w:w="15" w:type="dxa"/>
        </w:trPr>
        <w:tc>
          <w:tcPr>
            <w:tcW w:w="11685" w:type="dxa"/>
            <w:hideMark/>
          </w:tcPr>
          <w:p w:rsidR="006347EF" w:rsidRPr="006347EF" w:rsidRDefault="006347EF" w:rsidP="006347EF">
            <w:pPr>
              <w:spacing w:after="0" w:line="240" w:lineRule="auto"/>
              <w:rPr>
                <w:rFonts w:ascii="Arial" w:eastAsia="Times New Roman" w:hAnsi="Arial" w:cs="Arial"/>
                <w:sz w:val="18"/>
                <w:szCs w:val="18"/>
              </w:rPr>
            </w:pPr>
            <w:r w:rsidRPr="006347EF">
              <w:rPr>
                <w:rFonts w:ascii="Arial" w:eastAsia="Times New Roman" w:hAnsi="Arial" w:cs="Arial"/>
                <w:sz w:val="18"/>
                <w:szCs w:val="18"/>
              </w:rPr>
              <w:lastRenderedPageBreak/>
              <w:t>Texas Education Agency | Academics | Performance Reporting</w:t>
            </w:r>
          </w:p>
        </w:tc>
        <w:tc>
          <w:tcPr>
            <w:tcW w:w="11670" w:type="dxa"/>
            <w:hideMark/>
          </w:tcPr>
          <w:p w:rsidR="006347EF" w:rsidRPr="006347EF" w:rsidRDefault="006347EF" w:rsidP="006347EF">
            <w:pPr>
              <w:spacing w:after="0" w:line="240" w:lineRule="auto"/>
              <w:jc w:val="right"/>
              <w:rPr>
                <w:rFonts w:ascii="Arial" w:eastAsia="Times New Roman" w:hAnsi="Arial" w:cs="Arial"/>
                <w:sz w:val="18"/>
                <w:szCs w:val="18"/>
              </w:rPr>
            </w:pPr>
            <w:r w:rsidRPr="006347EF">
              <w:rPr>
                <w:rFonts w:ascii="Arial" w:eastAsia="Times New Roman" w:hAnsi="Arial" w:cs="Arial"/>
                <w:sz w:val="18"/>
                <w:szCs w:val="18"/>
              </w:rPr>
              <w:t>December 2018</w:t>
            </w:r>
          </w:p>
        </w:tc>
      </w:tr>
    </w:tbl>
    <w:p w:rsidR="001D40EF" w:rsidRDefault="001D40EF">
      <w:bookmarkStart w:id="34" w:name="_GoBack"/>
      <w:bookmarkEnd w:id="34"/>
    </w:p>
    <w:sectPr w:rsidR="001D4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EF"/>
    <w:rsid w:val="001D40EF"/>
    <w:rsid w:val="0063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7E00C-A1B0-4091-AEC7-C4A28AC7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347EF"/>
  </w:style>
  <w:style w:type="paragraph" w:customStyle="1" w:styleId="msonormal0">
    <w:name w:val="msonormal"/>
    <w:basedOn w:val="Normal"/>
    <w:rsid w:val="006347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47EF"/>
    <w:rPr>
      <w:color w:val="0000FF"/>
      <w:u w:val="single"/>
    </w:rPr>
  </w:style>
  <w:style w:type="character" w:styleId="FollowedHyperlink">
    <w:name w:val="FollowedHyperlink"/>
    <w:basedOn w:val="DefaultParagraphFont"/>
    <w:uiPriority w:val="99"/>
    <w:semiHidden/>
    <w:unhideWhenUsed/>
    <w:rsid w:val="006347EF"/>
    <w:rPr>
      <w:color w:val="800080"/>
      <w:u w:val="single"/>
    </w:rPr>
  </w:style>
  <w:style w:type="character" w:customStyle="1" w:styleId="c">
    <w:name w:val="c"/>
    <w:basedOn w:val="DefaultParagraphFont"/>
    <w:rsid w:val="006347EF"/>
  </w:style>
  <w:style w:type="character" w:customStyle="1" w:styleId="l">
    <w:name w:val="l"/>
    <w:basedOn w:val="DefaultParagraphFont"/>
    <w:rsid w:val="00634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02784">
      <w:bodyDiv w:val="1"/>
      <w:marLeft w:val="0"/>
      <w:marRight w:val="0"/>
      <w:marTop w:val="0"/>
      <w:marBottom w:val="0"/>
      <w:divBdr>
        <w:top w:val="none" w:sz="0" w:space="0" w:color="auto"/>
        <w:left w:val="none" w:sz="0" w:space="0" w:color="auto"/>
        <w:bottom w:val="none" w:sz="0" w:space="0" w:color="auto"/>
        <w:right w:val="none" w:sz="0" w:space="0" w:color="auto"/>
      </w:divBdr>
      <w:divsChild>
        <w:div w:id="581068640">
          <w:marLeft w:val="0"/>
          <w:marRight w:val="0"/>
          <w:marTop w:val="0"/>
          <w:marBottom w:val="0"/>
          <w:divBdr>
            <w:top w:val="none" w:sz="0" w:space="0" w:color="auto"/>
            <w:left w:val="none" w:sz="0" w:space="0" w:color="auto"/>
            <w:bottom w:val="none" w:sz="0" w:space="0" w:color="auto"/>
            <w:right w:val="none" w:sz="0" w:space="0" w:color="auto"/>
          </w:divBdr>
          <w:divsChild>
            <w:div w:id="689336895">
              <w:marLeft w:val="0"/>
              <w:marRight w:val="0"/>
              <w:marTop w:val="0"/>
              <w:marBottom w:val="0"/>
              <w:divBdr>
                <w:top w:val="none" w:sz="0" w:space="0" w:color="auto"/>
                <w:left w:val="none" w:sz="0" w:space="0" w:color="auto"/>
                <w:bottom w:val="none" w:sz="0" w:space="0" w:color="auto"/>
                <w:right w:val="none" w:sz="0" w:space="0" w:color="auto"/>
              </w:divBdr>
            </w:div>
            <w:div w:id="403458471">
              <w:marLeft w:val="0"/>
              <w:marRight w:val="0"/>
              <w:marTop w:val="0"/>
              <w:marBottom w:val="0"/>
              <w:divBdr>
                <w:top w:val="none" w:sz="0" w:space="0" w:color="auto"/>
                <w:left w:val="none" w:sz="0" w:space="0" w:color="auto"/>
                <w:bottom w:val="none" w:sz="0" w:space="0" w:color="auto"/>
                <w:right w:val="none" w:sz="0" w:space="0" w:color="auto"/>
              </w:divBdr>
            </w:div>
          </w:divsChild>
        </w:div>
        <w:div w:id="314144655">
          <w:marLeft w:val="0"/>
          <w:marRight w:val="0"/>
          <w:marTop w:val="0"/>
          <w:marBottom w:val="0"/>
          <w:divBdr>
            <w:top w:val="none" w:sz="0" w:space="0" w:color="auto"/>
            <w:left w:val="none" w:sz="0" w:space="0" w:color="auto"/>
            <w:bottom w:val="none" w:sz="0" w:space="0" w:color="auto"/>
            <w:right w:val="none" w:sz="0" w:space="0" w:color="auto"/>
          </w:divBdr>
          <w:divsChild>
            <w:div w:id="1140153721">
              <w:marLeft w:val="0"/>
              <w:marRight w:val="0"/>
              <w:marTop w:val="0"/>
              <w:marBottom w:val="0"/>
              <w:divBdr>
                <w:top w:val="none" w:sz="0" w:space="0" w:color="auto"/>
                <w:left w:val="none" w:sz="0" w:space="0" w:color="auto"/>
                <w:bottom w:val="none" w:sz="0" w:space="0" w:color="auto"/>
                <w:right w:val="none" w:sz="0" w:space="0" w:color="auto"/>
              </w:divBdr>
            </w:div>
          </w:divsChild>
        </w:div>
        <w:div w:id="1063676229">
          <w:marLeft w:val="0"/>
          <w:marRight w:val="0"/>
          <w:marTop w:val="0"/>
          <w:marBottom w:val="0"/>
          <w:divBdr>
            <w:top w:val="none" w:sz="0" w:space="0" w:color="auto"/>
            <w:left w:val="none" w:sz="0" w:space="0" w:color="auto"/>
            <w:bottom w:val="none" w:sz="0" w:space="0" w:color="auto"/>
            <w:right w:val="none" w:sz="0" w:space="0" w:color="auto"/>
          </w:divBdr>
          <w:divsChild>
            <w:div w:id="332339971">
              <w:marLeft w:val="0"/>
              <w:marRight w:val="0"/>
              <w:marTop w:val="0"/>
              <w:marBottom w:val="0"/>
              <w:divBdr>
                <w:top w:val="none" w:sz="0" w:space="0" w:color="auto"/>
                <w:left w:val="none" w:sz="0" w:space="0" w:color="auto"/>
                <w:bottom w:val="none" w:sz="0" w:space="0" w:color="auto"/>
                <w:right w:val="none" w:sz="0" w:space="0" w:color="auto"/>
              </w:divBdr>
            </w:div>
          </w:divsChild>
        </w:div>
        <w:div w:id="1872959052">
          <w:marLeft w:val="0"/>
          <w:marRight w:val="0"/>
          <w:marTop w:val="0"/>
          <w:marBottom w:val="0"/>
          <w:divBdr>
            <w:top w:val="none" w:sz="0" w:space="0" w:color="auto"/>
            <w:left w:val="none" w:sz="0" w:space="0" w:color="auto"/>
            <w:bottom w:val="none" w:sz="0" w:space="0" w:color="auto"/>
            <w:right w:val="none" w:sz="0" w:space="0" w:color="auto"/>
          </w:divBdr>
          <w:divsChild>
            <w:div w:id="206338766">
              <w:marLeft w:val="0"/>
              <w:marRight w:val="0"/>
              <w:marTop w:val="0"/>
              <w:marBottom w:val="0"/>
              <w:divBdr>
                <w:top w:val="none" w:sz="0" w:space="0" w:color="auto"/>
                <w:left w:val="none" w:sz="0" w:space="0" w:color="auto"/>
                <w:bottom w:val="none" w:sz="0" w:space="0" w:color="auto"/>
                <w:right w:val="none" w:sz="0" w:space="0" w:color="auto"/>
              </w:divBdr>
            </w:div>
          </w:divsChild>
        </w:div>
        <w:div w:id="1441144767">
          <w:marLeft w:val="0"/>
          <w:marRight w:val="0"/>
          <w:marTop w:val="0"/>
          <w:marBottom w:val="0"/>
          <w:divBdr>
            <w:top w:val="none" w:sz="0" w:space="0" w:color="auto"/>
            <w:left w:val="none" w:sz="0" w:space="0" w:color="auto"/>
            <w:bottom w:val="none" w:sz="0" w:space="0" w:color="auto"/>
            <w:right w:val="none" w:sz="0" w:space="0" w:color="auto"/>
          </w:divBdr>
          <w:divsChild>
            <w:div w:id="1608538507">
              <w:marLeft w:val="0"/>
              <w:marRight w:val="0"/>
              <w:marTop w:val="0"/>
              <w:marBottom w:val="0"/>
              <w:divBdr>
                <w:top w:val="none" w:sz="0" w:space="0" w:color="auto"/>
                <w:left w:val="none" w:sz="0" w:space="0" w:color="auto"/>
                <w:bottom w:val="none" w:sz="0" w:space="0" w:color="auto"/>
                <w:right w:val="none" w:sz="0" w:space="0" w:color="auto"/>
              </w:divBdr>
            </w:div>
          </w:divsChild>
        </w:div>
        <w:div w:id="1031146525">
          <w:marLeft w:val="0"/>
          <w:marRight w:val="0"/>
          <w:marTop w:val="0"/>
          <w:marBottom w:val="0"/>
          <w:divBdr>
            <w:top w:val="none" w:sz="0" w:space="0" w:color="auto"/>
            <w:left w:val="none" w:sz="0" w:space="0" w:color="auto"/>
            <w:bottom w:val="none" w:sz="0" w:space="0" w:color="auto"/>
            <w:right w:val="none" w:sz="0" w:space="0" w:color="auto"/>
          </w:divBdr>
          <w:divsChild>
            <w:div w:id="741486513">
              <w:marLeft w:val="0"/>
              <w:marRight w:val="0"/>
              <w:marTop w:val="0"/>
              <w:marBottom w:val="0"/>
              <w:divBdr>
                <w:top w:val="none" w:sz="0" w:space="0" w:color="auto"/>
                <w:left w:val="none" w:sz="0" w:space="0" w:color="auto"/>
                <w:bottom w:val="none" w:sz="0" w:space="0" w:color="auto"/>
                <w:right w:val="none" w:sz="0" w:space="0" w:color="auto"/>
              </w:divBdr>
            </w:div>
          </w:divsChild>
        </w:div>
        <w:div w:id="1317763892">
          <w:marLeft w:val="0"/>
          <w:marRight w:val="0"/>
          <w:marTop w:val="0"/>
          <w:marBottom w:val="0"/>
          <w:divBdr>
            <w:top w:val="none" w:sz="0" w:space="0" w:color="auto"/>
            <w:left w:val="none" w:sz="0" w:space="0" w:color="auto"/>
            <w:bottom w:val="none" w:sz="0" w:space="0" w:color="auto"/>
            <w:right w:val="none" w:sz="0" w:space="0" w:color="auto"/>
          </w:divBdr>
          <w:divsChild>
            <w:div w:id="1746344323">
              <w:marLeft w:val="0"/>
              <w:marRight w:val="0"/>
              <w:marTop w:val="0"/>
              <w:marBottom w:val="0"/>
              <w:divBdr>
                <w:top w:val="none" w:sz="0" w:space="0" w:color="auto"/>
                <w:left w:val="none" w:sz="0" w:space="0" w:color="auto"/>
                <w:bottom w:val="none" w:sz="0" w:space="0" w:color="auto"/>
                <w:right w:val="none" w:sz="0" w:space="0" w:color="auto"/>
              </w:divBdr>
            </w:div>
          </w:divsChild>
        </w:div>
        <w:div w:id="1892575245">
          <w:marLeft w:val="0"/>
          <w:marRight w:val="0"/>
          <w:marTop w:val="0"/>
          <w:marBottom w:val="0"/>
          <w:divBdr>
            <w:top w:val="none" w:sz="0" w:space="0" w:color="auto"/>
            <w:left w:val="none" w:sz="0" w:space="0" w:color="auto"/>
            <w:bottom w:val="none" w:sz="0" w:space="0" w:color="auto"/>
            <w:right w:val="none" w:sz="0" w:space="0" w:color="auto"/>
          </w:divBdr>
          <w:divsChild>
            <w:div w:id="361174377">
              <w:marLeft w:val="0"/>
              <w:marRight w:val="0"/>
              <w:marTop w:val="0"/>
              <w:marBottom w:val="0"/>
              <w:divBdr>
                <w:top w:val="none" w:sz="0" w:space="0" w:color="auto"/>
                <w:left w:val="none" w:sz="0" w:space="0" w:color="auto"/>
                <w:bottom w:val="none" w:sz="0" w:space="0" w:color="auto"/>
                <w:right w:val="none" w:sz="0" w:space="0" w:color="auto"/>
              </w:divBdr>
            </w:div>
          </w:divsChild>
        </w:div>
        <w:div w:id="1297179776">
          <w:marLeft w:val="0"/>
          <w:marRight w:val="0"/>
          <w:marTop w:val="0"/>
          <w:marBottom w:val="0"/>
          <w:divBdr>
            <w:top w:val="none" w:sz="0" w:space="0" w:color="auto"/>
            <w:left w:val="none" w:sz="0" w:space="0" w:color="auto"/>
            <w:bottom w:val="none" w:sz="0" w:space="0" w:color="auto"/>
            <w:right w:val="none" w:sz="0" w:space="0" w:color="auto"/>
          </w:divBdr>
          <w:divsChild>
            <w:div w:id="540942907">
              <w:marLeft w:val="0"/>
              <w:marRight w:val="0"/>
              <w:marTop w:val="0"/>
              <w:marBottom w:val="0"/>
              <w:divBdr>
                <w:top w:val="none" w:sz="0" w:space="0" w:color="auto"/>
                <w:left w:val="none" w:sz="0" w:space="0" w:color="auto"/>
                <w:bottom w:val="none" w:sz="0" w:space="0" w:color="auto"/>
                <w:right w:val="none" w:sz="0" w:space="0" w:color="auto"/>
              </w:divBdr>
            </w:div>
          </w:divsChild>
        </w:div>
        <w:div w:id="1158229931">
          <w:marLeft w:val="0"/>
          <w:marRight w:val="0"/>
          <w:marTop w:val="0"/>
          <w:marBottom w:val="0"/>
          <w:divBdr>
            <w:top w:val="none" w:sz="0" w:space="0" w:color="auto"/>
            <w:left w:val="none" w:sz="0" w:space="0" w:color="auto"/>
            <w:bottom w:val="none" w:sz="0" w:space="0" w:color="auto"/>
            <w:right w:val="none" w:sz="0" w:space="0" w:color="auto"/>
          </w:divBdr>
          <w:divsChild>
            <w:div w:id="272177292">
              <w:marLeft w:val="0"/>
              <w:marRight w:val="0"/>
              <w:marTop w:val="0"/>
              <w:marBottom w:val="0"/>
              <w:divBdr>
                <w:top w:val="none" w:sz="0" w:space="0" w:color="auto"/>
                <w:left w:val="none" w:sz="0" w:space="0" w:color="auto"/>
                <w:bottom w:val="none" w:sz="0" w:space="0" w:color="auto"/>
                <w:right w:val="none" w:sz="0" w:space="0" w:color="auto"/>
              </w:divBdr>
            </w:div>
          </w:divsChild>
        </w:div>
        <w:div w:id="730925252">
          <w:marLeft w:val="0"/>
          <w:marRight w:val="0"/>
          <w:marTop w:val="0"/>
          <w:marBottom w:val="0"/>
          <w:divBdr>
            <w:top w:val="none" w:sz="0" w:space="0" w:color="auto"/>
            <w:left w:val="none" w:sz="0" w:space="0" w:color="auto"/>
            <w:bottom w:val="none" w:sz="0" w:space="0" w:color="auto"/>
            <w:right w:val="none" w:sz="0" w:space="0" w:color="auto"/>
          </w:divBdr>
          <w:divsChild>
            <w:div w:id="2142796433">
              <w:marLeft w:val="0"/>
              <w:marRight w:val="0"/>
              <w:marTop w:val="0"/>
              <w:marBottom w:val="0"/>
              <w:divBdr>
                <w:top w:val="none" w:sz="0" w:space="0" w:color="auto"/>
                <w:left w:val="none" w:sz="0" w:space="0" w:color="auto"/>
                <w:bottom w:val="none" w:sz="0" w:space="0" w:color="auto"/>
                <w:right w:val="none" w:sz="0" w:space="0" w:color="auto"/>
              </w:divBdr>
            </w:div>
          </w:divsChild>
        </w:div>
        <w:div w:id="479006313">
          <w:marLeft w:val="0"/>
          <w:marRight w:val="0"/>
          <w:marTop w:val="0"/>
          <w:marBottom w:val="0"/>
          <w:divBdr>
            <w:top w:val="none" w:sz="0" w:space="0" w:color="auto"/>
            <w:left w:val="none" w:sz="0" w:space="0" w:color="auto"/>
            <w:bottom w:val="none" w:sz="0" w:space="0" w:color="auto"/>
            <w:right w:val="none" w:sz="0" w:space="0" w:color="auto"/>
          </w:divBdr>
          <w:divsChild>
            <w:div w:id="1869174470">
              <w:marLeft w:val="0"/>
              <w:marRight w:val="0"/>
              <w:marTop w:val="0"/>
              <w:marBottom w:val="0"/>
              <w:divBdr>
                <w:top w:val="none" w:sz="0" w:space="0" w:color="auto"/>
                <w:left w:val="none" w:sz="0" w:space="0" w:color="auto"/>
                <w:bottom w:val="none" w:sz="0" w:space="0" w:color="auto"/>
                <w:right w:val="none" w:sz="0" w:space="0" w:color="auto"/>
              </w:divBdr>
            </w:div>
          </w:divsChild>
        </w:div>
        <w:div w:id="1247347546">
          <w:marLeft w:val="0"/>
          <w:marRight w:val="0"/>
          <w:marTop w:val="0"/>
          <w:marBottom w:val="0"/>
          <w:divBdr>
            <w:top w:val="none" w:sz="0" w:space="0" w:color="auto"/>
            <w:left w:val="none" w:sz="0" w:space="0" w:color="auto"/>
            <w:bottom w:val="none" w:sz="0" w:space="0" w:color="auto"/>
            <w:right w:val="none" w:sz="0" w:space="0" w:color="auto"/>
          </w:divBdr>
          <w:divsChild>
            <w:div w:id="1015840208">
              <w:marLeft w:val="0"/>
              <w:marRight w:val="0"/>
              <w:marTop w:val="0"/>
              <w:marBottom w:val="0"/>
              <w:divBdr>
                <w:top w:val="none" w:sz="0" w:space="0" w:color="auto"/>
                <w:left w:val="none" w:sz="0" w:space="0" w:color="auto"/>
                <w:bottom w:val="none" w:sz="0" w:space="0" w:color="auto"/>
                <w:right w:val="none" w:sz="0" w:space="0" w:color="auto"/>
              </w:divBdr>
            </w:div>
          </w:divsChild>
        </w:div>
        <w:div w:id="468058721">
          <w:marLeft w:val="0"/>
          <w:marRight w:val="0"/>
          <w:marTop w:val="0"/>
          <w:marBottom w:val="0"/>
          <w:divBdr>
            <w:top w:val="none" w:sz="0" w:space="0" w:color="auto"/>
            <w:left w:val="none" w:sz="0" w:space="0" w:color="auto"/>
            <w:bottom w:val="none" w:sz="0" w:space="0" w:color="auto"/>
            <w:right w:val="none" w:sz="0" w:space="0" w:color="auto"/>
          </w:divBdr>
          <w:divsChild>
            <w:div w:id="1547133499">
              <w:marLeft w:val="0"/>
              <w:marRight w:val="0"/>
              <w:marTop w:val="0"/>
              <w:marBottom w:val="0"/>
              <w:divBdr>
                <w:top w:val="none" w:sz="0" w:space="0" w:color="auto"/>
                <w:left w:val="none" w:sz="0" w:space="0" w:color="auto"/>
                <w:bottom w:val="none" w:sz="0" w:space="0" w:color="auto"/>
                <w:right w:val="none" w:sz="0" w:space="0" w:color="auto"/>
              </w:divBdr>
            </w:div>
          </w:divsChild>
        </w:div>
        <w:div w:id="578708923">
          <w:marLeft w:val="0"/>
          <w:marRight w:val="0"/>
          <w:marTop w:val="0"/>
          <w:marBottom w:val="0"/>
          <w:divBdr>
            <w:top w:val="none" w:sz="0" w:space="0" w:color="auto"/>
            <w:left w:val="none" w:sz="0" w:space="0" w:color="auto"/>
            <w:bottom w:val="none" w:sz="0" w:space="0" w:color="auto"/>
            <w:right w:val="none" w:sz="0" w:space="0" w:color="auto"/>
          </w:divBdr>
          <w:divsChild>
            <w:div w:id="698317073">
              <w:marLeft w:val="0"/>
              <w:marRight w:val="0"/>
              <w:marTop w:val="0"/>
              <w:marBottom w:val="0"/>
              <w:divBdr>
                <w:top w:val="none" w:sz="0" w:space="0" w:color="auto"/>
                <w:left w:val="none" w:sz="0" w:space="0" w:color="auto"/>
                <w:bottom w:val="none" w:sz="0" w:space="0" w:color="auto"/>
                <w:right w:val="none" w:sz="0" w:space="0" w:color="auto"/>
              </w:divBdr>
            </w:div>
          </w:divsChild>
        </w:div>
        <w:div w:id="1870072358">
          <w:marLeft w:val="0"/>
          <w:marRight w:val="0"/>
          <w:marTop w:val="0"/>
          <w:marBottom w:val="0"/>
          <w:divBdr>
            <w:top w:val="none" w:sz="0" w:space="0" w:color="auto"/>
            <w:left w:val="none" w:sz="0" w:space="0" w:color="auto"/>
            <w:bottom w:val="none" w:sz="0" w:space="0" w:color="auto"/>
            <w:right w:val="none" w:sz="0" w:space="0" w:color="auto"/>
          </w:divBdr>
          <w:divsChild>
            <w:div w:id="1969965371">
              <w:marLeft w:val="0"/>
              <w:marRight w:val="0"/>
              <w:marTop w:val="0"/>
              <w:marBottom w:val="0"/>
              <w:divBdr>
                <w:top w:val="none" w:sz="0" w:space="0" w:color="auto"/>
                <w:left w:val="none" w:sz="0" w:space="0" w:color="auto"/>
                <w:bottom w:val="none" w:sz="0" w:space="0" w:color="auto"/>
                <w:right w:val="none" w:sz="0" w:space="0" w:color="auto"/>
              </w:divBdr>
            </w:div>
          </w:divsChild>
        </w:div>
        <w:div w:id="39287570">
          <w:marLeft w:val="0"/>
          <w:marRight w:val="0"/>
          <w:marTop w:val="0"/>
          <w:marBottom w:val="0"/>
          <w:divBdr>
            <w:top w:val="none" w:sz="0" w:space="0" w:color="auto"/>
            <w:left w:val="none" w:sz="0" w:space="0" w:color="auto"/>
            <w:bottom w:val="none" w:sz="0" w:space="0" w:color="auto"/>
            <w:right w:val="none" w:sz="0" w:space="0" w:color="auto"/>
          </w:divBdr>
          <w:divsChild>
            <w:div w:id="2132551105">
              <w:marLeft w:val="0"/>
              <w:marRight w:val="0"/>
              <w:marTop w:val="0"/>
              <w:marBottom w:val="0"/>
              <w:divBdr>
                <w:top w:val="none" w:sz="0" w:space="0" w:color="auto"/>
                <w:left w:val="none" w:sz="0" w:space="0" w:color="auto"/>
                <w:bottom w:val="none" w:sz="0" w:space="0" w:color="auto"/>
                <w:right w:val="none" w:sz="0" w:space="0" w:color="auto"/>
              </w:divBdr>
            </w:div>
          </w:divsChild>
        </w:div>
        <w:div w:id="604076535">
          <w:marLeft w:val="0"/>
          <w:marRight w:val="0"/>
          <w:marTop w:val="0"/>
          <w:marBottom w:val="0"/>
          <w:divBdr>
            <w:top w:val="none" w:sz="0" w:space="0" w:color="auto"/>
            <w:left w:val="none" w:sz="0" w:space="0" w:color="auto"/>
            <w:bottom w:val="none" w:sz="0" w:space="0" w:color="auto"/>
            <w:right w:val="none" w:sz="0" w:space="0" w:color="auto"/>
          </w:divBdr>
          <w:divsChild>
            <w:div w:id="1846438230">
              <w:marLeft w:val="0"/>
              <w:marRight w:val="0"/>
              <w:marTop w:val="0"/>
              <w:marBottom w:val="0"/>
              <w:divBdr>
                <w:top w:val="none" w:sz="0" w:space="0" w:color="auto"/>
                <w:left w:val="none" w:sz="0" w:space="0" w:color="auto"/>
                <w:bottom w:val="none" w:sz="0" w:space="0" w:color="auto"/>
                <w:right w:val="none" w:sz="0" w:space="0" w:color="auto"/>
              </w:divBdr>
            </w:div>
          </w:divsChild>
        </w:div>
        <w:div w:id="222757256">
          <w:marLeft w:val="0"/>
          <w:marRight w:val="0"/>
          <w:marTop w:val="0"/>
          <w:marBottom w:val="0"/>
          <w:divBdr>
            <w:top w:val="none" w:sz="0" w:space="0" w:color="auto"/>
            <w:left w:val="none" w:sz="0" w:space="0" w:color="auto"/>
            <w:bottom w:val="none" w:sz="0" w:space="0" w:color="auto"/>
            <w:right w:val="none" w:sz="0" w:space="0" w:color="auto"/>
          </w:divBdr>
          <w:divsChild>
            <w:div w:id="1603227297">
              <w:marLeft w:val="0"/>
              <w:marRight w:val="0"/>
              <w:marTop w:val="0"/>
              <w:marBottom w:val="0"/>
              <w:divBdr>
                <w:top w:val="none" w:sz="0" w:space="0" w:color="auto"/>
                <w:left w:val="none" w:sz="0" w:space="0" w:color="auto"/>
                <w:bottom w:val="none" w:sz="0" w:space="0" w:color="auto"/>
                <w:right w:val="none" w:sz="0" w:space="0" w:color="auto"/>
              </w:divBdr>
            </w:div>
          </w:divsChild>
        </w:div>
        <w:div w:id="2068186170">
          <w:marLeft w:val="0"/>
          <w:marRight w:val="0"/>
          <w:marTop w:val="0"/>
          <w:marBottom w:val="0"/>
          <w:divBdr>
            <w:top w:val="none" w:sz="0" w:space="0" w:color="auto"/>
            <w:left w:val="none" w:sz="0" w:space="0" w:color="auto"/>
            <w:bottom w:val="none" w:sz="0" w:space="0" w:color="auto"/>
            <w:right w:val="none" w:sz="0" w:space="0" w:color="auto"/>
          </w:divBdr>
          <w:divsChild>
            <w:div w:id="2065130323">
              <w:marLeft w:val="0"/>
              <w:marRight w:val="0"/>
              <w:marTop w:val="0"/>
              <w:marBottom w:val="0"/>
              <w:divBdr>
                <w:top w:val="none" w:sz="0" w:space="0" w:color="auto"/>
                <w:left w:val="none" w:sz="0" w:space="0" w:color="auto"/>
                <w:bottom w:val="none" w:sz="0" w:space="0" w:color="auto"/>
                <w:right w:val="none" w:sz="0" w:space="0" w:color="auto"/>
              </w:divBdr>
            </w:div>
          </w:divsChild>
        </w:div>
        <w:div w:id="857159408">
          <w:marLeft w:val="0"/>
          <w:marRight w:val="0"/>
          <w:marTop w:val="0"/>
          <w:marBottom w:val="0"/>
          <w:divBdr>
            <w:top w:val="none" w:sz="0" w:space="0" w:color="auto"/>
            <w:left w:val="none" w:sz="0" w:space="0" w:color="auto"/>
            <w:bottom w:val="none" w:sz="0" w:space="0" w:color="auto"/>
            <w:right w:val="none" w:sz="0" w:space="0" w:color="auto"/>
          </w:divBdr>
          <w:divsChild>
            <w:div w:id="2111507365">
              <w:marLeft w:val="0"/>
              <w:marRight w:val="0"/>
              <w:marTop w:val="0"/>
              <w:marBottom w:val="0"/>
              <w:divBdr>
                <w:top w:val="none" w:sz="0" w:space="0" w:color="auto"/>
                <w:left w:val="none" w:sz="0" w:space="0" w:color="auto"/>
                <w:bottom w:val="none" w:sz="0" w:space="0" w:color="auto"/>
                <w:right w:val="none" w:sz="0" w:space="0" w:color="auto"/>
              </w:divBdr>
            </w:div>
          </w:divsChild>
        </w:div>
        <w:div w:id="373239805">
          <w:marLeft w:val="0"/>
          <w:marRight w:val="0"/>
          <w:marTop w:val="0"/>
          <w:marBottom w:val="0"/>
          <w:divBdr>
            <w:top w:val="none" w:sz="0" w:space="0" w:color="auto"/>
            <w:left w:val="none" w:sz="0" w:space="0" w:color="auto"/>
            <w:bottom w:val="none" w:sz="0" w:space="0" w:color="auto"/>
            <w:right w:val="none" w:sz="0" w:space="0" w:color="auto"/>
          </w:divBdr>
          <w:divsChild>
            <w:div w:id="973292132">
              <w:marLeft w:val="0"/>
              <w:marRight w:val="0"/>
              <w:marTop w:val="0"/>
              <w:marBottom w:val="0"/>
              <w:divBdr>
                <w:top w:val="none" w:sz="0" w:space="0" w:color="auto"/>
                <w:left w:val="none" w:sz="0" w:space="0" w:color="auto"/>
                <w:bottom w:val="none" w:sz="0" w:space="0" w:color="auto"/>
                <w:right w:val="none" w:sz="0" w:space="0" w:color="auto"/>
              </w:divBdr>
            </w:div>
          </w:divsChild>
        </w:div>
        <w:div w:id="1754547337">
          <w:marLeft w:val="0"/>
          <w:marRight w:val="0"/>
          <w:marTop w:val="0"/>
          <w:marBottom w:val="0"/>
          <w:divBdr>
            <w:top w:val="none" w:sz="0" w:space="0" w:color="auto"/>
            <w:left w:val="none" w:sz="0" w:space="0" w:color="auto"/>
            <w:bottom w:val="none" w:sz="0" w:space="0" w:color="auto"/>
            <w:right w:val="none" w:sz="0" w:space="0" w:color="auto"/>
          </w:divBdr>
          <w:divsChild>
            <w:div w:id="1457991739">
              <w:marLeft w:val="0"/>
              <w:marRight w:val="0"/>
              <w:marTop w:val="0"/>
              <w:marBottom w:val="0"/>
              <w:divBdr>
                <w:top w:val="none" w:sz="0" w:space="0" w:color="auto"/>
                <w:left w:val="none" w:sz="0" w:space="0" w:color="auto"/>
                <w:bottom w:val="none" w:sz="0" w:space="0" w:color="auto"/>
                <w:right w:val="none" w:sz="0" w:space="0" w:color="auto"/>
              </w:divBdr>
            </w:div>
          </w:divsChild>
        </w:div>
        <w:div w:id="803889190">
          <w:marLeft w:val="0"/>
          <w:marRight w:val="0"/>
          <w:marTop w:val="0"/>
          <w:marBottom w:val="0"/>
          <w:divBdr>
            <w:top w:val="none" w:sz="0" w:space="0" w:color="auto"/>
            <w:left w:val="none" w:sz="0" w:space="0" w:color="auto"/>
            <w:bottom w:val="none" w:sz="0" w:space="0" w:color="auto"/>
            <w:right w:val="none" w:sz="0" w:space="0" w:color="auto"/>
          </w:divBdr>
          <w:divsChild>
            <w:div w:id="1832939659">
              <w:marLeft w:val="0"/>
              <w:marRight w:val="0"/>
              <w:marTop w:val="0"/>
              <w:marBottom w:val="0"/>
              <w:divBdr>
                <w:top w:val="none" w:sz="0" w:space="0" w:color="auto"/>
                <w:left w:val="none" w:sz="0" w:space="0" w:color="auto"/>
                <w:bottom w:val="none" w:sz="0" w:space="0" w:color="auto"/>
                <w:right w:val="none" w:sz="0" w:space="0" w:color="auto"/>
              </w:divBdr>
            </w:div>
          </w:divsChild>
        </w:div>
        <w:div w:id="1197305070">
          <w:marLeft w:val="0"/>
          <w:marRight w:val="0"/>
          <w:marTop w:val="0"/>
          <w:marBottom w:val="0"/>
          <w:divBdr>
            <w:top w:val="none" w:sz="0" w:space="0" w:color="auto"/>
            <w:left w:val="none" w:sz="0" w:space="0" w:color="auto"/>
            <w:bottom w:val="none" w:sz="0" w:space="0" w:color="auto"/>
            <w:right w:val="none" w:sz="0" w:space="0" w:color="auto"/>
          </w:divBdr>
          <w:divsChild>
            <w:div w:id="645283162">
              <w:marLeft w:val="0"/>
              <w:marRight w:val="0"/>
              <w:marTop w:val="0"/>
              <w:marBottom w:val="0"/>
              <w:divBdr>
                <w:top w:val="none" w:sz="0" w:space="0" w:color="auto"/>
                <w:left w:val="none" w:sz="0" w:space="0" w:color="auto"/>
                <w:bottom w:val="none" w:sz="0" w:space="0" w:color="auto"/>
                <w:right w:val="none" w:sz="0" w:space="0" w:color="auto"/>
              </w:divBdr>
            </w:div>
          </w:divsChild>
        </w:div>
        <w:div w:id="97259493">
          <w:marLeft w:val="0"/>
          <w:marRight w:val="0"/>
          <w:marTop w:val="0"/>
          <w:marBottom w:val="0"/>
          <w:divBdr>
            <w:top w:val="none" w:sz="0" w:space="0" w:color="auto"/>
            <w:left w:val="none" w:sz="0" w:space="0" w:color="auto"/>
            <w:bottom w:val="none" w:sz="0" w:space="0" w:color="auto"/>
            <w:right w:val="none" w:sz="0" w:space="0" w:color="auto"/>
          </w:divBdr>
          <w:divsChild>
            <w:div w:id="1825125440">
              <w:marLeft w:val="0"/>
              <w:marRight w:val="0"/>
              <w:marTop w:val="0"/>
              <w:marBottom w:val="0"/>
              <w:divBdr>
                <w:top w:val="none" w:sz="0" w:space="0" w:color="auto"/>
                <w:left w:val="none" w:sz="0" w:space="0" w:color="auto"/>
                <w:bottom w:val="none" w:sz="0" w:space="0" w:color="auto"/>
                <w:right w:val="none" w:sz="0" w:space="0" w:color="auto"/>
              </w:divBdr>
            </w:div>
          </w:divsChild>
        </w:div>
        <w:div w:id="1456438927">
          <w:marLeft w:val="0"/>
          <w:marRight w:val="0"/>
          <w:marTop w:val="0"/>
          <w:marBottom w:val="0"/>
          <w:divBdr>
            <w:top w:val="none" w:sz="0" w:space="0" w:color="auto"/>
            <w:left w:val="none" w:sz="0" w:space="0" w:color="auto"/>
            <w:bottom w:val="none" w:sz="0" w:space="0" w:color="auto"/>
            <w:right w:val="none" w:sz="0" w:space="0" w:color="auto"/>
          </w:divBdr>
          <w:divsChild>
            <w:div w:id="1228029745">
              <w:marLeft w:val="0"/>
              <w:marRight w:val="0"/>
              <w:marTop w:val="0"/>
              <w:marBottom w:val="0"/>
              <w:divBdr>
                <w:top w:val="none" w:sz="0" w:space="0" w:color="auto"/>
                <w:left w:val="none" w:sz="0" w:space="0" w:color="auto"/>
                <w:bottom w:val="none" w:sz="0" w:space="0" w:color="auto"/>
                <w:right w:val="none" w:sz="0" w:space="0" w:color="auto"/>
              </w:divBdr>
            </w:div>
          </w:divsChild>
        </w:div>
        <w:div w:id="298731813">
          <w:marLeft w:val="0"/>
          <w:marRight w:val="0"/>
          <w:marTop w:val="0"/>
          <w:marBottom w:val="0"/>
          <w:divBdr>
            <w:top w:val="none" w:sz="0" w:space="0" w:color="auto"/>
            <w:left w:val="none" w:sz="0" w:space="0" w:color="auto"/>
            <w:bottom w:val="none" w:sz="0" w:space="0" w:color="auto"/>
            <w:right w:val="none" w:sz="0" w:space="0" w:color="auto"/>
          </w:divBdr>
          <w:divsChild>
            <w:div w:id="2112620505">
              <w:marLeft w:val="0"/>
              <w:marRight w:val="0"/>
              <w:marTop w:val="0"/>
              <w:marBottom w:val="0"/>
              <w:divBdr>
                <w:top w:val="none" w:sz="0" w:space="0" w:color="auto"/>
                <w:left w:val="none" w:sz="0" w:space="0" w:color="auto"/>
                <w:bottom w:val="none" w:sz="0" w:space="0" w:color="auto"/>
                <w:right w:val="none" w:sz="0" w:space="0" w:color="auto"/>
              </w:divBdr>
            </w:div>
          </w:divsChild>
        </w:div>
        <w:div w:id="2086994362">
          <w:marLeft w:val="0"/>
          <w:marRight w:val="0"/>
          <w:marTop w:val="0"/>
          <w:marBottom w:val="0"/>
          <w:divBdr>
            <w:top w:val="none" w:sz="0" w:space="0" w:color="auto"/>
            <w:left w:val="none" w:sz="0" w:space="0" w:color="auto"/>
            <w:bottom w:val="none" w:sz="0" w:space="0" w:color="auto"/>
            <w:right w:val="none" w:sz="0" w:space="0" w:color="auto"/>
          </w:divBdr>
          <w:divsChild>
            <w:div w:id="549458828">
              <w:marLeft w:val="0"/>
              <w:marRight w:val="0"/>
              <w:marTop w:val="0"/>
              <w:marBottom w:val="0"/>
              <w:divBdr>
                <w:top w:val="none" w:sz="0" w:space="0" w:color="auto"/>
                <w:left w:val="none" w:sz="0" w:space="0" w:color="auto"/>
                <w:bottom w:val="none" w:sz="0" w:space="0" w:color="auto"/>
                <w:right w:val="none" w:sz="0" w:space="0" w:color="auto"/>
              </w:divBdr>
            </w:div>
          </w:divsChild>
        </w:div>
        <w:div w:id="261575574">
          <w:marLeft w:val="0"/>
          <w:marRight w:val="0"/>
          <w:marTop w:val="0"/>
          <w:marBottom w:val="0"/>
          <w:divBdr>
            <w:top w:val="none" w:sz="0" w:space="0" w:color="auto"/>
            <w:left w:val="none" w:sz="0" w:space="0" w:color="auto"/>
            <w:bottom w:val="none" w:sz="0" w:space="0" w:color="auto"/>
            <w:right w:val="none" w:sz="0" w:space="0" w:color="auto"/>
          </w:divBdr>
          <w:divsChild>
            <w:div w:id="1880194734">
              <w:marLeft w:val="0"/>
              <w:marRight w:val="0"/>
              <w:marTop w:val="0"/>
              <w:marBottom w:val="0"/>
              <w:divBdr>
                <w:top w:val="none" w:sz="0" w:space="0" w:color="auto"/>
                <w:left w:val="none" w:sz="0" w:space="0" w:color="auto"/>
                <w:bottom w:val="none" w:sz="0" w:space="0" w:color="auto"/>
                <w:right w:val="none" w:sz="0" w:space="0" w:color="auto"/>
              </w:divBdr>
            </w:div>
          </w:divsChild>
        </w:div>
        <w:div w:id="1735348690">
          <w:marLeft w:val="0"/>
          <w:marRight w:val="0"/>
          <w:marTop w:val="0"/>
          <w:marBottom w:val="0"/>
          <w:divBdr>
            <w:top w:val="none" w:sz="0" w:space="0" w:color="auto"/>
            <w:left w:val="none" w:sz="0" w:space="0" w:color="auto"/>
            <w:bottom w:val="none" w:sz="0" w:space="0" w:color="auto"/>
            <w:right w:val="none" w:sz="0" w:space="0" w:color="auto"/>
          </w:divBdr>
          <w:divsChild>
            <w:div w:id="1506938470">
              <w:marLeft w:val="0"/>
              <w:marRight w:val="0"/>
              <w:marTop w:val="0"/>
              <w:marBottom w:val="0"/>
              <w:divBdr>
                <w:top w:val="none" w:sz="0" w:space="0" w:color="auto"/>
                <w:left w:val="none" w:sz="0" w:space="0" w:color="auto"/>
                <w:bottom w:val="none" w:sz="0" w:space="0" w:color="auto"/>
                <w:right w:val="none" w:sz="0" w:space="0" w:color="auto"/>
              </w:divBdr>
            </w:div>
          </w:divsChild>
        </w:div>
        <w:div w:id="667171773">
          <w:marLeft w:val="0"/>
          <w:marRight w:val="0"/>
          <w:marTop w:val="0"/>
          <w:marBottom w:val="0"/>
          <w:divBdr>
            <w:top w:val="none" w:sz="0" w:space="0" w:color="auto"/>
            <w:left w:val="none" w:sz="0" w:space="0" w:color="auto"/>
            <w:bottom w:val="none" w:sz="0" w:space="0" w:color="auto"/>
            <w:right w:val="none" w:sz="0" w:space="0" w:color="auto"/>
          </w:divBdr>
          <w:divsChild>
            <w:div w:id="326908810">
              <w:marLeft w:val="0"/>
              <w:marRight w:val="0"/>
              <w:marTop w:val="0"/>
              <w:marBottom w:val="0"/>
              <w:divBdr>
                <w:top w:val="none" w:sz="0" w:space="0" w:color="auto"/>
                <w:left w:val="none" w:sz="0" w:space="0" w:color="auto"/>
                <w:bottom w:val="none" w:sz="0" w:space="0" w:color="auto"/>
                <w:right w:val="none" w:sz="0" w:space="0" w:color="auto"/>
              </w:divBdr>
            </w:div>
          </w:divsChild>
        </w:div>
        <w:div w:id="1740663699">
          <w:marLeft w:val="0"/>
          <w:marRight w:val="0"/>
          <w:marTop w:val="0"/>
          <w:marBottom w:val="0"/>
          <w:divBdr>
            <w:top w:val="none" w:sz="0" w:space="0" w:color="auto"/>
            <w:left w:val="none" w:sz="0" w:space="0" w:color="auto"/>
            <w:bottom w:val="none" w:sz="0" w:space="0" w:color="auto"/>
            <w:right w:val="none" w:sz="0" w:space="0" w:color="auto"/>
          </w:divBdr>
          <w:divsChild>
            <w:div w:id="1776557831">
              <w:marLeft w:val="0"/>
              <w:marRight w:val="0"/>
              <w:marTop w:val="0"/>
              <w:marBottom w:val="0"/>
              <w:divBdr>
                <w:top w:val="none" w:sz="0" w:space="0" w:color="auto"/>
                <w:left w:val="none" w:sz="0" w:space="0" w:color="auto"/>
                <w:bottom w:val="none" w:sz="0" w:space="0" w:color="auto"/>
                <w:right w:val="none" w:sz="0" w:space="0" w:color="auto"/>
              </w:divBdr>
            </w:div>
          </w:divsChild>
        </w:div>
        <w:div w:id="2090347686">
          <w:marLeft w:val="0"/>
          <w:marRight w:val="0"/>
          <w:marTop w:val="0"/>
          <w:marBottom w:val="0"/>
          <w:divBdr>
            <w:top w:val="none" w:sz="0" w:space="0" w:color="auto"/>
            <w:left w:val="none" w:sz="0" w:space="0" w:color="auto"/>
            <w:bottom w:val="none" w:sz="0" w:space="0" w:color="auto"/>
            <w:right w:val="none" w:sz="0" w:space="0" w:color="auto"/>
          </w:divBdr>
          <w:divsChild>
            <w:div w:id="1546218550">
              <w:marLeft w:val="0"/>
              <w:marRight w:val="0"/>
              <w:marTop w:val="0"/>
              <w:marBottom w:val="0"/>
              <w:divBdr>
                <w:top w:val="none" w:sz="0" w:space="0" w:color="auto"/>
                <w:left w:val="none" w:sz="0" w:space="0" w:color="auto"/>
                <w:bottom w:val="none" w:sz="0" w:space="0" w:color="auto"/>
                <w:right w:val="none" w:sz="0" w:space="0" w:color="auto"/>
              </w:divBdr>
            </w:div>
          </w:divsChild>
        </w:div>
        <w:div w:id="403572345">
          <w:marLeft w:val="0"/>
          <w:marRight w:val="0"/>
          <w:marTop w:val="0"/>
          <w:marBottom w:val="0"/>
          <w:divBdr>
            <w:top w:val="none" w:sz="0" w:space="0" w:color="auto"/>
            <w:left w:val="none" w:sz="0" w:space="0" w:color="auto"/>
            <w:bottom w:val="none" w:sz="0" w:space="0" w:color="auto"/>
            <w:right w:val="none" w:sz="0" w:space="0" w:color="auto"/>
          </w:divBdr>
          <w:divsChild>
            <w:div w:id="3443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texas.gov/WorkArea/DownloadAsset.aspx?id=51539624660" TargetMode="External"/><Relationship Id="rId5" Type="http://schemas.openxmlformats.org/officeDocument/2006/relationships/hyperlink" Target="https://tea.texas.gov/WorkArea/DownloadAsset.aspx?id=51539624659" TargetMode="External"/><Relationship Id="rId4" Type="http://schemas.openxmlformats.org/officeDocument/2006/relationships/hyperlink" Target="https://rptsvr1.tea.texas.gov/cgi/sas/broker?_service=marykay&amp;year4=2018&amp;year2=18&amp;_debug=0&amp;single=N&amp;title=2017-18+Federal+Report+Card&amp;_program=perfrept.perfmast.sas&amp;prgopt=2018%2Ffrc%2Freport_card.sas&amp;ptype=H&amp;level=district&amp;search=distnum&amp;namenum=114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8360</Words>
  <Characters>47656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Patsy A.</dc:creator>
  <cp:keywords/>
  <dc:description/>
  <cp:lastModifiedBy>Sanchez, Patsy A.</cp:lastModifiedBy>
  <cp:revision>1</cp:revision>
  <dcterms:created xsi:type="dcterms:W3CDTF">2020-01-16T18:02:00Z</dcterms:created>
  <dcterms:modified xsi:type="dcterms:W3CDTF">2020-01-16T18:03:00Z</dcterms:modified>
</cp:coreProperties>
</file>