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Danville Public Schools provides Family Life Education to our district during the current school year to students in Kindergarten - 10th grades. Family Life Education is presented based on the Virginia Standards of Learning and supported by HealthSmart, which is aligned to follow our state standards. HealthSmart is a flexible and customizable skills-based health education curriculum.The ultimate goal of the HealthSmart program is to promote the healthy growth and development of youth and give them the knowledge and skills to make healthy choices and establish life-long healthy behavior (https://www.etr.org/healthsmart). </w:t>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sz w:val="32"/>
          <w:szCs w:val="32"/>
          <w:rtl w:val="0"/>
        </w:rPr>
        <w:t xml:space="preserve">Family Life Education is provided during the student’s physical education/specials. During instruction, students in grades 4th- 10th will be split by gender and the Physical Education teacher(s) will assist with the instruction provided by DPS’ own Family Life Professionals.</w:t>
      </w:r>
    </w:p>
    <w:p w:rsidR="00000000" w:rsidDel="00000000" w:rsidP="00000000" w:rsidRDefault="00000000" w:rsidRPr="00000000" w14:paraId="00000008">
      <w:pPr>
        <w:ind w:firstLine="720"/>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sz w:val="32"/>
          <w:szCs w:val="32"/>
          <w:rtl w:val="0"/>
        </w:rPr>
        <w:t xml:space="preserve">Opt-Out letters are sent home with students before the start of instruction. If parents wish for their child not to participate in Family Life Instruction provided by Danville Public Schools, they must sign and return the opt out form to the student’s physical education teacher in order to opt out.</w:t>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line="276" w:lineRule="auto"/>
      <w:rPr/>
    </w:pPr>
    <w:r w:rsidDel="00000000" w:rsidR="00000000" w:rsidRPr="00000000">
      <w:rPr>
        <w:rFonts w:ascii="Roboto" w:cs="Roboto" w:eastAsia="Roboto" w:hAnsi="Roboto"/>
        <w:sz w:val="28"/>
        <w:szCs w:val="28"/>
      </w:rPr>
      <w:drawing>
        <wp:inline distB="114300" distT="114300" distL="114300" distR="114300">
          <wp:extent cx="4538663" cy="6175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38663" cy="6175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