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000D3C9C"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00921E9E" w:rsidRPr="00921E9E">
        <w:rPr>
          <w:rFonts w:ascii="Open Sans" w:hAnsi="Open Sans"/>
          <w:sz w:val="20"/>
          <w:u w:val="single"/>
          <w:lang w:val="es-419"/>
        </w:rPr>
        <w:t xml:space="preserve"> Obión</w:t>
      </w:r>
      <w:r w:rsidR="009E634E">
        <w:rPr>
          <w:rFonts w:ascii="Open Sans" w:hAnsi="Open Sans"/>
          <w:sz w:val="20"/>
          <w:u w:val="single"/>
          <w:lang w:val="es-419"/>
        </w:rPr>
        <w:t xml:space="preserve"> County</w:t>
      </w:r>
      <w:r w:rsidRPr="00D16874">
        <w:rPr>
          <w:u w:val="single"/>
          <w:lang w:val="es-419"/>
        </w:rPr>
        <w:tab/>
      </w:r>
    </w:p>
    <w:p w14:paraId="60DAE3ED" w14:textId="7E20E2D4"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Fecha: </w:t>
      </w:r>
      <w:r w:rsidR="00921E9E" w:rsidRPr="00921E9E">
        <w:rPr>
          <w:rFonts w:ascii="Open Sans" w:hAnsi="Open Sans"/>
          <w:sz w:val="20"/>
          <w:u w:val="single"/>
          <w:lang w:val="es-419"/>
        </w:rPr>
        <w:t>17 de agosto de 2022</w:t>
      </w:r>
      <w:r w:rsidRPr="00D16874">
        <w:rPr>
          <w:rFonts w:ascii="Open Sans" w:hAnsi="Open Sans"/>
          <w:sz w:val="20"/>
          <w:u w:val="single"/>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010D6879" w14:textId="77777777" w:rsidTr="00242ED5">
        <w:trPr>
          <w:trHeight w:val="720"/>
        </w:trPr>
        <w:tc>
          <w:tcPr>
            <w:tcW w:w="9350" w:type="dxa"/>
          </w:tcPr>
          <w:p w14:paraId="769757B1" w14:textId="77777777" w:rsidR="00BE3E61" w:rsidRDefault="00921E9E" w:rsidP="00921E9E">
            <w:pPr>
              <w:pStyle w:val="ListParagraph"/>
              <w:numPr>
                <w:ilvl w:val="0"/>
                <w:numId w:val="4"/>
              </w:numPr>
              <w:rPr>
                <w:rFonts w:ascii="Open Sans" w:hAnsi="Open Sans" w:cs="Open Sans"/>
                <w:sz w:val="20"/>
                <w:szCs w:val="20"/>
                <w:lang w:val="es-419"/>
              </w:rPr>
            </w:pPr>
            <w:r w:rsidRPr="00921E9E">
              <w:rPr>
                <w:rFonts w:ascii="Open Sans" w:hAnsi="Open Sans" w:cs="Open Sans"/>
                <w:sz w:val="20"/>
                <w:szCs w:val="20"/>
                <w:lang w:val="es-419"/>
              </w:rPr>
              <w:t>El director de escuelas y los representantes escolares han llevado a cabo conversaciones grupales con las partes interesadas para obtener información sobre el desarrollo del plan revisado y las revisiones en el futuro.</w:t>
            </w:r>
          </w:p>
          <w:p w14:paraId="791EBC3E" w14:textId="77777777" w:rsidR="00921E9E" w:rsidRDefault="00921E9E" w:rsidP="00921E9E">
            <w:pPr>
              <w:pStyle w:val="ListParagraph"/>
              <w:numPr>
                <w:ilvl w:val="0"/>
                <w:numId w:val="4"/>
              </w:numPr>
              <w:rPr>
                <w:rFonts w:ascii="Open Sans" w:hAnsi="Open Sans" w:cs="Open Sans"/>
                <w:sz w:val="20"/>
                <w:szCs w:val="20"/>
                <w:lang w:val="es-419"/>
              </w:rPr>
            </w:pPr>
            <w:r w:rsidRPr="00921E9E">
              <w:rPr>
                <w:rFonts w:ascii="Open Sans" w:hAnsi="Open Sans" w:cs="Open Sans"/>
                <w:sz w:val="20"/>
                <w:szCs w:val="20"/>
                <w:lang w:val="es-419"/>
              </w:rPr>
              <w:t>El Director de Escuelas envió una nueva encuesta de Microsoft Forms a las partes interesadas para informarles sobre el plan de gastos propuesto y solicitar comentarios para usar en el desarrollo del plan revisado.</w:t>
            </w:r>
          </w:p>
          <w:p w14:paraId="25313E1D" w14:textId="77777777" w:rsidR="00921E9E" w:rsidRDefault="00921E9E" w:rsidP="00921E9E">
            <w:pPr>
              <w:pStyle w:val="ListParagraph"/>
              <w:numPr>
                <w:ilvl w:val="0"/>
                <w:numId w:val="4"/>
              </w:numPr>
              <w:rPr>
                <w:rFonts w:ascii="Open Sans" w:hAnsi="Open Sans" w:cs="Open Sans"/>
                <w:sz w:val="20"/>
                <w:szCs w:val="20"/>
                <w:lang w:val="es-419"/>
              </w:rPr>
            </w:pPr>
            <w:r w:rsidRPr="00921E9E">
              <w:rPr>
                <w:rFonts w:ascii="Open Sans" w:hAnsi="Open Sans" w:cs="Open Sans"/>
                <w:sz w:val="20"/>
                <w:szCs w:val="20"/>
                <w:lang w:val="es-419"/>
              </w:rPr>
              <w:t>El Director de Escuelas ha realizado reuniones públicas de la Junta en las que se informó al público sobre el plan de gastos propuesto y se le dio la oportunidad de aprobarlo o rechazarlo, así como de hacer comentarios en el desarrollo del plan revisado.</w:t>
            </w:r>
          </w:p>
          <w:p w14:paraId="13997440" w14:textId="076E3A51" w:rsidR="00921E9E" w:rsidRPr="00921E9E" w:rsidRDefault="003261CF" w:rsidP="00921E9E">
            <w:pPr>
              <w:pStyle w:val="ListParagraph"/>
              <w:numPr>
                <w:ilvl w:val="0"/>
                <w:numId w:val="4"/>
              </w:numPr>
              <w:rPr>
                <w:rFonts w:ascii="Open Sans" w:hAnsi="Open Sans" w:cs="Open Sans"/>
                <w:sz w:val="20"/>
                <w:szCs w:val="20"/>
                <w:lang w:val="es-419"/>
              </w:rPr>
            </w:pPr>
            <w:r w:rsidRPr="003261CF">
              <w:rPr>
                <w:rFonts w:ascii="Open Sans" w:hAnsi="Open Sans" w:cs="Open Sans"/>
                <w:sz w:val="20"/>
                <w:szCs w:val="20"/>
                <w:lang w:val="es-419"/>
              </w:rPr>
              <w:t>La información está disponible en el sitio web de nuestra escuela, el boletín escolar y los medios de comunicación con un enlace a la encuesta para obtener comentarios de las partes interesadas en el desarrollo del plan revisado.</w:t>
            </w: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4578204D" w14:textId="77777777" w:rsidTr="00242ED5">
        <w:trPr>
          <w:trHeight w:val="720"/>
        </w:trPr>
        <w:tc>
          <w:tcPr>
            <w:tcW w:w="9350" w:type="dxa"/>
          </w:tcPr>
          <w:p w14:paraId="7592F58E" w14:textId="28F3CC1F" w:rsidR="00BE3E61" w:rsidRDefault="003261CF" w:rsidP="003261CF">
            <w:pPr>
              <w:pStyle w:val="ListParagraph"/>
              <w:numPr>
                <w:ilvl w:val="0"/>
                <w:numId w:val="5"/>
              </w:numPr>
              <w:rPr>
                <w:rFonts w:ascii="Open Sans" w:hAnsi="Open Sans" w:cs="Open Sans"/>
                <w:sz w:val="20"/>
                <w:szCs w:val="20"/>
                <w:lang w:val="es-419"/>
              </w:rPr>
            </w:pPr>
            <w:r w:rsidRPr="003261CF">
              <w:rPr>
                <w:rFonts w:ascii="Open Sans" w:hAnsi="Open Sans" w:cs="Open Sans"/>
                <w:sz w:val="20"/>
                <w:szCs w:val="20"/>
                <w:lang w:val="es-419"/>
              </w:rPr>
              <w:lastRenderedPageBreak/>
              <w:t>Los representantes de las Escuelas del Obion</w:t>
            </w:r>
            <w:r w:rsidR="009E634E">
              <w:rPr>
                <w:rFonts w:ascii="Open Sans" w:hAnsi="Open Sans" w:cs="Open Sans"/>
                <w:sz w:val="20"/>
                <w:szCs w:val="20"/>
                <w:lang w:val="es-419"/>
              </w:rPr>
              <w:t xml:space="preserve"> County</w:t>
            </w:r>
            <w:r w:rsidRPr="003261CF">
              <w:rPr>
                <w:rFonts w:ascii="Open Sans" w:hAnsi="Open Sans" w:cs="Open Sans"/>
                <w:sz w:val="20"/>
                <w:szCs w:val="20"/>
                <w:lang w:val="es-419"/>
              </w:rPr>
              <w:t xml:space="preserve"> y los funcionarios del departamento de salud local se han comunicado para determinar las necesidades para el regreso seguro a la escuela de nuestros estudiantes.</w:t>
            </w:r>
          </w:p>
          <w:p w14:paraId="278900AB" w14:textId="77777777" w:rsidR="003261CF" w:rsidRDefault="003261CF" w:rsidP="003261CF">
            <w:pPr>
              <w:pStyle w:val="ListParagraph"/>
              <w:numPr>
                <w:ilvl w:val="0"/>
                <w:numId w:val="5"/>
              </w:numPr>
              <w:rPr>
                <w:rFonts w:ascii="Open Sans" w:hAnsi="Open Sans" w:cs="Open Sans"/>
                <w:sz w:val="20"/>
                <w:szCs w:val="20"/>
                <w:lang w:val="es-419"/>
              </w:rPr>
            </w:pPr>
            <w:r w:rsidRPr="003261CF">
              <w:rPr>
                <w:rFonts w:ascii="Open Sans" w:hAnsi="Open Sans" w:cs="Open Sans"/>
                <w:sz w:val="20"/>
                <w:szCs w:val="20"/>
                <w:lang w:val="es-419"/>
              </w:rPr>
              <w:t>La comunicación también incluyó información sobre vacunas y refuerzos disponibles</w:t>
            </w:r>
            <w:r>
              <w:rPr>
                <w:rFonts w:ascii="Open Sans" w:hAnsi="Open Sans" w:cs="Open Sans"/>
                <w:sz w:val="20"/>
                <w:szCs w:val="20"/>
                <w:lang w:val="es-419"/>
              </w:rPr>
              <w:t>.</w:t>
            </w:r>
          </w:p>
          <w:p w14:paraId="765F6A26" w14:textId="13763506" w:rsidR="003261CF" w:rsidRPr="003261CF" w:rsidRDefault="003261CF" w:rsidP="003261CF">
            <w:pPr>
              <w:pStyle w:val="ListParagraph"/>
              <w:numPr>
                <w:ilvl w:val="0"/>
                <w:numId w:val="5"/>
              </w:numPr>
              <w:rPr>
                <w:rFonts w:ascii="Open Sans" w:hAnsi="Open Sans" w:cs="Open Sans"/>
                <w:sz w:val="20"/>
                <w:szCs w:val="20"/>
                <w:lang w:val="es-419"/>
              </w:rPr>
            </w:pPr>
            <w:r w:rsidRPr="003261CF">
              <w:rPr>
                <w:rFonts w:ascii="Open Sans" w:hAnsi="Open Sans" w:cs="Open Sans"/>
                <w:sz w:val="20"/>
                <w:szCs w:val="20"/>
                <w:lang w:val="es-419"/>
              </w:rPr>
              <w:t>La comunicación está en curso con respecto a las actualizaciones de los casos en el condado para usar esta información a medida que la Junta determina nuestra fase de operación</w:t>
            </w:r>
            <w:r>
              <w:rPr>
                <w:rFonts w:ascii="Open Sans" w:hAnsi="Open Sans" w:cs="Open Sans"/>
                <w:sz w:val="20"/>
                <w:szCs w:val="20"/>
                <w:lang w:val="es-419"/>
              </w:rPr>
              <w:t>.</w:t>
            </w:r>
          </w:p>
        </w:tc>
      </w:tr>
    </w:tbl>
    <w:p w14:paraId="5995D548" w14:textId="77777777" w:rsidR="00242ED5" w:rsidRPr="00D16874" w:rsidRDefault="00242ED5">
      <w:pPr>
        <w:rPr>
          <w:rFonts w:ascii="Open Sans" w:hAnsi="Open Sans" w:cs="Open Sans"/>
          <w:sz w:val="20"/>
          <w:szCs w:val="20"/>
          <w:lang w:val="es-419"/>
        </w:rPr>
      </w:pPr>
      <w:r w:rsidRPr="00D16874">
        <w:rPr>
          <w:lang w:val="es-419"/>
        </w:rPr>
        <w:br w:type="page"/>
      </w: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lastRenderedPageBreak/>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070"/>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4731C8DE" w14:textId="77777777" w:rsidR="006D78ED"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Materiales específicamente para estudiantes individuales, por lo que no hay estudiantes que compartan útiles, según sea necesario</w:t>
            </w:r>
          </w:p>
          <w:p w14:paraId="10DC3894" w14:textId="77777777" w:rsidR="003261CF"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Marcadores de puntos de asientos en alfombras, en las aulas y en la cafetería para que los estudiantes permanezcan socialmente distanciados</w:t>
            </w:r>
          </w:p>
          <w:p w14:paraId="5720AAF7" w14:textId="77777777" w:rsidR="003261CF"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Hojas divisorias de plástico en las mesas para permitir el trabajo en grupo, según sea necesario</w:t>
            </w:r>
          </w:p>
          <w:p w14:paraId="2798E6B3" w14:textId="77777777" w:rsidR="003261CF"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Clases especiales para mantener el tamaño de las clases pequeño</w:t>
            </w:r>
          </w:p>
          <w:p w14:paraId="463852ED" w14:textId="77777777" w:rsidR="003261CF"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Las notas del médico permiten que algunos estudiantes con riesgo médico reciban educación a distancia</w:t>
            </w:r>
          </w:p>
          <w:p w14:paraId="1F876E37" w14:textId="75945E32" w:rsidR="003261CF" w:rsidRPr="003261CF" w:rsidRDefault="003261CF" w:rsidP="003261CF">
            <w:pPr>
              <w:pStyle w:val="ListParagraph"/>
              <w:numPr>
                <w:ilvl w:val="0"/>
                <w:numId w:val="6"/>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Se están siguiendo los requisitos de FAPE para los estudiantes, así como los planes IEP y 504</w:t>
            </w: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2357AF71" w14:textId="77777777" w:rsidR="006D78ED" w:rsidRDefault="003261CF" w:rsidP="003261CF">
            <w:pPr>
              <w:pStyle w:val="ListParagraph"/>
              <w:numPr>
                <w:ilvl w:val="0"/>
                <w:numId w:val="7"/>
              </w:numPr>
              <w:autoSpaceDE w:val="0"/>
              <w:autoSpaceDN w:val="0"/>
              <w:adjustRightInd w:val="0"/>
              <w:rPr>
                <w:rFonts w:ascii="Open Sans" w:hAnsi="Open Sans" w:cs="Open Sans"/>
                <w:sz w:val="20"/>
                <w:szCs w:val="20"/>
                <w:lang w:val="es-419"/>
              </w:rPr>
            </w:pPr>
            <w:r w:rsidRPr="003261CF">
              <w:rPr>
                <w:rFonts w:ascii="Open Sans" w:hAnsi="Open Sans" w:cs="Open Sans"/>
                <w:sz w:val="20"/>
                <w:szCs w:val="20"/>
                <w:lang w:val="es-419"/>
              </w:rPr>
              <w:t>Animado donde sea posible en nuestros edificios</w:t>
            </w:r>
          </w:p>
          <w:p w14:paraId="1A96EC6B" w14:textId="411FFEB8" w:rsidR="003261CF" w:rsidRPr="003261CF" w:rsidRDefault="00547832" w:rsidP="003261CF">
            <w:pPr>
              <w:pStyle w:val="ListParagraph"/>
              <w:numPr>
                <w:ilvl w:val="0"/>
                <w:numId w:val="7"/>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Cuando los estudiantes están en grupos que requieren contacto cercano, se les anima a usar máscaras</w:t>
            </w: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0D74CCEB" w14:textId="77777777" w:rsidR="006D78ED" w:rsidRDefault="00547832" w:rsidP="00547832">
            <w:pPr>
              <w:pStyle w:val="ListParagraph"/>
              <w:numPr>
                <w:ilvl w:val="0"/>
                <w:numId w:val="8"/>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Se lleva a cabo capacitación sobre etiqueta respiratoria con los estudiantes, que incluye cubrirse la boca y notas al toser o estornudar, usar pañuelos desechables y tirarlos adecuadamente, y lavarse las manos o usar desinfectante para manos después de tocarse la cara o la nariz.</w:t>
            </w:r>
          </w:p>
          <w:p w14:paraId="7ADEDBB6" w14:textId="582C2CFE" w:rsidR="00547832" w:rsidRPr="00547832" w:rsidRDefault="00547832" w:rsidP="00547832">
            <w:pPr>
              <w:pStyle w:val="ListParagraph"/>
              <w:numPr>
                <w:ilvl w:val="0"/>
                <w:numId w:val="8"/>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Cada escuela tiene carteles colocados en o cerca de los baños para recordar a los estudiantes el lavado de manos y la etiqueta respiratoria</w:t>
            </w: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7C41731A" w14:textId="6135A045" w:rsidR="006D78ED" w:rsidRDefault="00547832" w:rsidP="00547832">
            <w:pPr>
              <w:pStyle w:val="ListParagraph"/>
              <w:numPr>
                <w:ilvl w:val="0"/>
                <w:numId w:val="9"/>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Los conserjes han aumentado los tiempos de limpieza durante el día escolar limpiando las manijas de las puertas y las áreas que los estudiantes han tocado con regularidad</w:t>
            </w:r>
          </w:p>
          <w:p w14:paraId="69C0F984" w14:textId="336ABBDD" w:rsidR="00547832" w:rsidRPr="00547832" w:rsidRDefault="00547832" w:rsidP="00547832">
            <w:pPr>
              <w:pStyle w:val="ListParagraph"/>
              <w:numPr>
                <w:ilvl w:val="0"/>
                <w:numId w:val="9"/>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Se rocía desinfectante en las áreas alfombradas por las noches para mantener las instalaciones saludables</w:t>
            </w:r>
          </w:p>
        </w:tc>
      </w:tr>
      <w:tr w:rsidR="006D78ED" w:rsidRPr="00D16874" w14:paraId="7F702806" w14:textId="77777777" w:rsidTr="173BE974">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7FE6A884" w14:textId="77777777" w:rsidR="006D78ED" w:rsidRDefault="00547832" w:rsidP="00547832">
            <w:pPr>
              <w:pStyle w:val="ListParagraph"/>
              <w:numPr>
                <w:ilvl w:val="0"/>
                <w:numId w:val="10"/>
              </w:numPr>
              <w:autoSpaceDE w:val="0"/>
              <w:autoSpaceDN w:val="0"/>
              <w:adjustRightInd w:val="0"/>
              <w:rPr>
                <w:rFonts w:ascii="Open Sans" w:hAnsi="Open Sans" w:cs="Open Sans"/>
                <w:sz w:val="20"/>
                <w:szCs w:val="20"/>
                <w:lang w:val="es-419"/>
              </w:rPr>
            </w:pPr>
            <w:r w:rsidRPr="00547832">
              <w:rPr>
                <w:rFonts w:ascii="Open Sans" w:hAnsi="Open Sans" w:cs="Open Sans"/>
                <w:sz w:val="20"/>
                <w:szCs w:val="20"/>
                <w:lang w:val="es-419"/>
              </w:rPr>
              <w:t>Se siguen las pautas de los CDC para el rastreo de contactos en combinación con el aislamiento y la cuarentena.</w:t>
            </w:r>
          </w:p>
          <w:p w14:paraId="1D00F7C7" w14:textId="77777777" w:rsidR="00547832" w:rsidRDefault="009D3C4E" w:rsidP="00547832">
            <w:pPr>
              <w:pStyle w:val="ListParagraph"/>
              <w:numPr>
                <w:ilvl w:val="0"/>
                <w:numId w:val="10"/>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Los diagramas de asientos de los salones de clase, las listas de los salones de clase, los diagramas de asientos de los autobuses, los diagramas de asientos de la cafetería y las listas de atletas se actualizan periódicamente.</w:t>
            </w:r>
          </w:p>
          <w:p w14:paraId="5E51FAF1" w14:textId="77777777" w:rsidR="009D3C4E" w:rsidRDefault="009D3C4E" w:rsidP="00547832">
            <w:pPr>
              <w:pStyle w:val="ListParagraph"/>
              <w:numPr>
                <w:ilvl w:val="0"/>
                <w:numId w:val="10"/>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Las enfermeras y/o los administradores utilizan las tablas de asientos y las listas proporcionadas para desarrollar una lista de estudiantes que han estado en contacto cercano para notificación a los padres.</w:t>
            </w:r>
          </w:p>
          <w:p w14:paraId="17CF02D9" w14:textId="2852E79B" w:rsidR="009D3C4E" w:rsidRPr="00547832" w:rsidRDefault="009D3C4E" w:rsidP="00547832">
            <w:pPr>
              <w:pStyle w:val="ListParagraph"/>
              <w:numPr>
                <w:ilvl w:val="0"/>
                <w:numId w:val="10"/>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Se proporciona una lista de estudiantes en cuarentena con información de contacto al departamento de salud local, según sea necesario.</w:t>
            </w: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3B55C9A8" w14:textId="77777777" w:rsidR="006D78ED" w:rsidRDefault="009D3C4E" w:rsidP="009D3C4E">
            <w:pPr>
              <w:pStyle w:val="ListParagraph"/>
              <w:numPr>
                <w:ilvl w:val="0"/>
                <w:numId w:val="11"/>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Las enfermeras son responsables de las pruebas de diagnóstico y detección.</w:t>
            </w:r>
          </w:p>
          <w:p w14:paraId="5CD13835" w14:textId="46C20BDD" w:rsidR="009D3C4E" w:rsidRPr="009D3C4E" w:rsidRDefault="009D3C4E" w:rsidP="009D3C4E">
            <w:pPr>
              <w:pStyle w:val="ListParagraph"/>
              <w:numPr>
                <w:ilvl w:val="0"/>
                <w:numId w:val="11"/>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Si un niño es sintomático, se contacta a un padre y, con el permiso de los padres, la enfermera de la escuela puede hacerle una prueba de COVID al niño.</w:t>
            </w: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4FECECE5" w14:textId="6D8C63FD" w:rsidR="006D78ED" w:rsidRDefault="009D3C4E" w:rsidP="009D3C4E">
            <w:pPr>
              <w:pStyle w:val="ListParagraph"/>
              <w:numPr>
                <w:ilvl w:val="0"/>
                <w:numId w:val="12"/>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lastRenderedPageBreak/>
              <w:t>El Departamento de Salud del Obion</w:t>
            </w:r>
            <w:r w:rsidR="00632FC7">
              <w:rPr>
                <w:rFonts w:ascii="Open Sans" w:hAnsi="Open Sans" w:cs="Open Sans"/>
                <w:sz w:val="20"/>
                <w:szCs w:val="20"/>
                <w:lang w:val="es-419"/>
              </w:rPr>
              <w:t xml:space="preserve"> County</w:t>
            </w:r>
            <w:r w:rsidRPr="009D3C4E">
              <w:rPr>
                <w:rFonts w:ascii="Open Sans" w:hAnsi="Open Sans" w:cs="Open Sans"/>
                <w:sz w:val="20"/>
                <w:szCs w:val="20"/>
                <w:lang w:val="es-419"/>
              </w:rPr>
              <w:t xml:space="preserve"> puso las vacunas a disposición de los educadores, el personal y los estudiantes según lo permitido</w:t>
            </w:r>
          </w:p>
          <w:p w14:paraId="129793EB" w14:textId="77777777" w:rsidR="009D3C4E" w:rsidRDefault="009D3C4E" w:rsidP="009D3C4E">
            <w:pPr>
              <w:pStyle w:val="ListParagraph"/>
              <w:numPr>
                <w:ilvl w:val="0"/>
                <w:numId w:val="12"/>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Las empresas locales como Wal-Mart y Walgreens actualmente tienen refuerzos disponibles</w:t>
            </w:r>
          </w:p>
          <w:p w14:paraId="5E93EE8E" w14:textId="2F8A82EF" w:rsidR="009D3C4E" w:rsidRPr="009D3C4E" w:rsidRDefault="009D3C4E" w:rsidP="009D3C4E">
            <w:pPr>
              <w:pStyle w:val="ListParagraph"/>
              <w:numPr>
                <w:ilvl w:val="0"/>
                <w:numId w:val="12"/>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Las escuelas del condado de Obion ofrecieron vacunas de refuerzo al personal en enero de 2022</w:t>
            </w: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41DA5755" w14:textId="77777777" w:rsidR="006D78ED" w:rsidRDefault="009D3C4E" w:rsidP="009D3C4E">
            <w:pPr>
              <w:pStyle w:val="ListParagraph"/>
              <w:numPr>
                <w:ilvl w:val="0"/>
                <w:numId w:val="13"/>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Los estudiantes reciben capacitación sobre el uso correcto de máscaras, lo que incluye lavarse las manos antes de ponerse una máscara y ajustarse correctamente la máscara a la cara que cubre la nariz y la boca, según sea necesario.</w:t>
            </w:r>
          </w:p>
          <w:p w14:paraId="433EFCA6" w14:textId="77777777" w:rsidR="009D3C4E" w:rsidRDefault="009D3C4E" w:rsidP="009D3C4E">
            <w:pPr>
              <w:pStyle w:val="ListParagraph"/>
              <w:numPr>
                <w:ilvl w:val="0"/>
                <w:numId w:val="13"/>
              </w:numPr>
              <w:autoSpaceDE w:val="0"/>
              <w:autoSpaceDN w:val="0"/>
              <w:adjustRightInd w:val="0"/>
              <w:rPr>
                <w:rFonts w:ascii="Open Sans" w:hAnsi="Open Sans" w:cs="Open Sans"/>
                <w:sz w:val="20"/>
                <w:szCs w:val="20"/>
                <w:lang w:val="es-419"/>
              </w:rPr>
            </w:pPr>
            <w:r w:rsidRPr="009D3C4E">
              <w:rPr>
                <w:rFonts w:ascii="Open Sans" w:hAnsi="Open Sans" w:cs="Open Sans"/>
                <w:sz w:val="20"/>
                <w:szCs w:val="20"/>
                <w:lang w:val="es-419"/>
              </w:rPr>
              <w:t>Dependiendo de la fase en la que se encuentre nuestro Distrito para la reapertura, los estudiantes pueden pasar de tener que usar máscaras a que se recomienden máscaras</w:t>
            </w:r>
            <w:r>
              <w:rPr>
                <w:rFonts w:ascii="Open Sans" w:hAnsi="Open Sans" w:cs="Open Sans"/>
                <w:sz w:val="20"/>
                <w:szCs w:val="20"/>
                <w:lang w:val="es-419"/>
              </w:rPr>
              <w:t>.</w:t>
            </w:r>
          </w:p>
          <w:p w14:paraId="5A7BED43" w14:textId="28AF6F65" w:rsidR="0049491D" w:rsidRPr="009D3C4E" w:rsidRDefault="0049491D" w:rsidP="00632FC7">
            <w:pPr>
              <w:pStyle w:val="ListParagraph"/>
              <w:autoSpaceDE w:val="0"/>
              <w:autoSpaceDN w:val="0"/>
              <w:adjustRightInd w:val="0"/>
              <w:rPr>
                <w:rFonts w:ascii="Open Sans" w:hAnsi="Open Sans" w:cs="Open Sans"/>
                <w:sz w:val="20"/>
                <w:szCs w:val="20"/>
                <w:lang w:val="es-419"/>
              </w:rPr>
            </w:pP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Proporcione una descripción actual de la manera en que la LEA garantizará la continuidad de servicios incluido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10070"/>
      </w:tblGrid>
      <w:tr w:rsidR="006D78ED" w:rsidRPr="00F26D40" w14:paraId="27DF6CE2" w14:textId="77777777" w:rsidTr="00F26D40">
        <w:trPr>
          <w:trHeight w:val="656"/>
        </w:trPr>
        <w:tc>
          <w:tcPr>
            <w:tcW w:w="9350" w:type="dxa"/>
          </w:tcPr>
          <w:p w14:paraId="7BE81301" w14:textId="48FE5117" w:rsidR="0049491D" w:rsidRDefault="0049491D" w:rsidP="0049491D">
            <w:pPr>
              <w:pStyle w:val="ListParagraph"/>
              <w:numPr>
                <w:ilvl w:val="0"/>
                <w:numId w:val="14"/>
              </w:numPr>
              <w:autoSpaceDE w:val="0"/>
              <w:autoSpaceDN w:val="0"/>
              <w:adjustRightInd w:val="0"/>
              <w:rPr>
                <w:rFonts w:ascii="Open Sans" w:hAnsi="Open Sans" w:cs="Open Sans"/>
                <w:sz w:val="20"/>
                <w:szCs w:val="20"/>
                <w:lang w:val="es-419"/>
              </w:rPr>
            </w:pPr>
            <w:r w:rsidRPr="0049491D">
              <w:rPr>
                <w:rFonts w:ascii="Open Sans" w:hAnsi="Open Sans" w:cs="Open Sans"/>
                <w:sz w:val="20"/>
                <w:szCs w:val="20"/>
                <w:lang w:val="es-419"/>
              </w:rPr>
              <w:t>Las escuelas del Obion</w:t>
            </w:r>
            <w:r w:rsidR="00632FC7">
              <w:rPr>
                <w:rFonts w:ascii="Open Sans" w:hAnsi="Open Sans" w:cs="Open Sans"/>
                <w:sz w:val="20"/>
                <w:szCs w:val="20"/>
                <w:lang w:val="es-419"/>
              </w:rPr>
              <w:t xml:space="preserve"> County</w:t>
            </w:r>
            <w:r w:rsidRPr="0049491D">
              <w:rPr>
                <w:rFonts w:ascii="Open Sans" w:hAnsi="Open Sans" w:cs="Open Sans"/>
                <w:sz w:val="20"/>
                <w:szCs w:val="20"/>
                <w:lang w:val="es-419"/>
              </w:rPr>
              <w:t xml:space="preserve"> garantizarán la continuidad de los servicios para la instrucción en persona siempre que sea posible</w:t>
            </w:r>
          </w:p>
          <w:p w14:paraId="36446B8A" w14:textId="16537AB1" w:rsidR="006D78ED" w:rsidRDefault="0049491D" w:rsidP="0049491D">
            <w:pPr>
              <w:pStyle w:val="ListParagraph"/>
              <w:numPr>
                <w:ilvl w:val="0"/>
                <w:numId w:val="14"/>
              </w:numPr>
              <w:autoSpaceDE w:val="0"/>
              <w:autoSpaceDN w:val="0"/>
              <w:adjustRightInd w:val="0"/>
              <w:rPr>
                <w:rFonts w:ascii="Open Sans" w:hAnsi="Open Sans" w:cs="Open Sans"/>
                <w:sz w:val="20"/>
                <w:szCs w:val="20"/>
                <w:lang w:val="es-419"/>
              </w:rPr>
            </w:pPr>
            <w:r w:rsidRPr="0049491D">
              <w:rPr>
                <w:rFonts w:ascii="Open Sans" w:hAnsi="Open Sans" w:cs="Open Sans"/>
                <w:sz w:val="20"/>
                <w:szCs w:val="20"/>
                <w:lang w:val="es-419"/>
              </w:rPr>
              <w:t>Para estudiantes en riesgo médico, se pueden permitir servicios virtuales.</w:t>
            </w:r>
          </w:p>
          <w:p w14:paraId="1B96A5B4" w14:textId="2ED4883B" w:rsidR="0049491D" w:rsidRDefault="0049491D" w:rsidP="0049491D">
            <w:pPr>
              <w:pStyle w:val="ListParagraph"/>
              <w:numPr>
                <w:ilvl w:val="0"/>
                <w:numId w:val="14"/>
              </w:numPr>
              <w:autoSpaceDE w:val="0"/>
              <w:autoSpaceDN w:val="0"/>
              <w:adjustRightInd w:val="0"/>
              <w:rPr>
                <w:rFonts w:ascii="Open Sans" w:hAnsi="Open Sans" w:cs="Open Sans"/>
                <w:sz w:val="20"/>
                <w:szCs w:val="20"/>
                <w:lang w:val="es-419"/>
              </w:rPr>
            </w:pPr>
            <w:r w:rsidRPr="0049491D">
              <w:rPr>
                <w:rFonts w:ascii="Open Sans" w:hAnsi="Open Sans" w:cs="Open Sans"/>
                <w:sz w:val="20"/>
                <w:szCs w:val="20"/>
                <w:lang w:val="es-419"/>
              </w:rPr>
              <w:t>Los estudiantes y el personal tendrán necesidades sociales, emocionales, de salud mental y de otro tipo atendidas por consejeros, trabajadores sociales escolares y servicios comunitarios, según sea necesario.</w:t>
            </w:r>
          </w:p>
          <w:p w14:paraId="2A7B0352" w14:textId="4FE93BBF" w:rsidR="0049491D" w:rsidRPr="0049491D" w:rsidRDefault="0049491D" w:rsidP="0049491D">
            <w:pPr>
              <w:pStyle w:val="ListParagraph"/>
              <w:numPr>
                <w:ilvl w:val="0"/>
                <w:numId w:val="14"/>
              </w:numPr>
              <w:autoSpaceDE w:val="0"/>
              <w:autoSpaceDN w:val="0"/>
              <w:adjustRightInd w:val="0"/>
              <w:rPr>
                <w:rFonts w:ascii="Open Sans" w:hAnsi="Open Sans" w:cs="Open Sans"/>
                <w:sz w:val="20"/>
                <w:szCs w:val="20"/>
                <w:lang w:val="es-419"/>
              </w:rPr>
            </w:pPr>
            <w:r w:rsidRPr="0049491D">
              <w:rPr>
                <w:rFonts w:ascii="Open Sans" w:hAnsi="Open Sans" w:cs="Open Sans"/>
                <w:sz w:val="20"/>
                <w:szCs w:val="20"/>
                <w:lang w:val="es-419"/>
              </w:rPr>
              <w:t>También se proporcionará servicio de alimentos según sea necesario.</w:t>
            </w:r>
          </w:p>
          <w:p w14:paraId="638BB6DA" w14:textId="77777777" w:rsidR="00F26D40" w:rsidRPr="00F26D40" w:rsidRDefault="00F26D40" w:rsidP="00F26D40">
            <w:pPr>
              <w:rPr>
                <w:rFonts w:ascii="Open Sans" w:hAnsi="Open Sans" w:cs="Open Sans"/>
                <w:sz w:val="20"/>
                <w:szCs w:val="20"/>
                <w:lang w:val="es-419"/>
              </w:rPr>
            </w:pPr>
          </w:p>
          <w:p w14:paraId="61BCED10" w14:textId="01F2B938" w:rsidR="00F26D40" w:rsidRPr="00F26D40" w:rsidRDefault="00F26D40" w:rsidP="00F26D40">
            <w:pPr>
              <w:tabs>
                <w:tab w:val="left" w:pos="2955"/>
              </w:tabs>
              <w:rPr>
                <w:rFonts w:ascii="Open Sans" w:hAnsi="Open Sans" w:cs="Open Sans"/>
                <w:sz w:val="20"/>
                <w:szCs w:val="20"/>
                <w:lang w:val="es-419"/>
              </w:rPr>
            </w:pPr>
            <w:r w:rsidRPr="00F26D40">
              <w:rPr>
                <w:rFonts w:ascii="Open Sans" w:hAnsi="Open Sans" w:cs="Open Sans"/>
                <w:sz w:val="20"/>
                <w:szCs w:val="20"/>
                <w:lang w:val="es-419"/>
              </w:rPr>
              <w:tab/>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1EF" w14:textId="77777777" w:rsidR="000B4201" w:rsidRDefault="000B4201" w:rsidP="000D7E9E">
      <w:pPr>
        <w:spacing w:after="0" w:line="240" w:lineRule="auto"/>
      </w:pPr>
      <w:r>
        <w:separator/>
      </w:r>
    </w:p>
  </w:endnote>
  <w:endnote w:type="continuationSeparator" w:id="0">
    <w:p w14:paraId="39E0D289" w14:textId="77777777" w:rsidR="000B4201" w:rsidRDefault="000B4201" w:rsidP="000D7E9E">
      <w:pPr>
        <w:spacing w:after="0" w:line="240" w:lineRule="auto"/>
      </w:pPr>
      <w:r>
        <w:continuationSeparator/>
      </w:r>
    </w:p>
  </w:endnote>
  <w:endnote w:type="continuationNotice" w:id="1">
    <w:p w14:paraId="02E08C60" w14:textId="77777777" w:rsidR="000B4201" w:rsidRDefault="000B4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78D" w14:textId="77777777" w:rsidR="00D16874" w:rsidRDefault="00D1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9685" w14:textId="77777777" w:rsidR="00D16874" w:rsidRDefault="00D1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2857" w14:textId="77777777" w:rsidR="000B4201" w:rsidRDefault="000B4201" w:rsidP="000D7E9E">
      <w:pPr>
        <w:spacing w:after="0" w:line="240" w:lineRule="auto"/>
      </w:pPr>
      <w:r>
        <w:separator/>
      </w:r>
    </w:p>
  </w:footnote>
  <w:footnote w:type="continuationSeparator" w:id="0">
    <w:p w14:paraId="1A87C413" w14:textId="77777777" w:rsidR="000B4201" w:rsidRDefault="000B4201" w:rsidP="000D7E9E">
      <w:pPr>
        <w:spacing w:after="0" w:line="240" w:lineRule="auto"/>
      </w:pPr>
      <w:r>
        <w:continuationSeparator/>
      </w:r>
    </w:p>
  </w:footnote>
  <w:footnote w:type="continuationNotice" w:id="1">
    <w:p w14:paraId="0F11CA28" w14:textId="77777777" w:rsidR="000B4201" w:rsidRDefault="000B4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7FF8" w14:textId="77777777" w:rsidR="00D16874" w:rsidRDefault="00D1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D9E" w14:textId="22B3DB39" w:rsidR="000D7E9E" w:rsidRDefault="000D7E9E">
    <w:pPr>
      <w:pStyle w:val="Header"/>
    </w:pPr>
    <w:r>
      <w:rPr>
        <w:noProof/>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908" w14:textId="77777777" w:rsidR="00D16874" w:rsidRDefault="00D1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5D3"/>
    <w:multiLevelType w:val="hybridMultilevel"/>
    <w:tmpl w:val="B3B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0105B"/>
    <w:multiLevelType w:val="hybridMultilevel"/>
    <w:tmpl w:val="642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B1A36"/>
    <w:multiLevelType w:val="hybridMultilevel"/>
    <w:tmpl w:val="9B1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8026E"/>
    <w:multiLevelType w:val="hybridMultilevel"/>
    <w:tmpl w:val="D31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5"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E5908"/>
    <w:multiLevelType w:val="hybridMultilevel"/>
    <w:tmpl w:val="B47C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F6FD9"/>
    <w:multiLevelType w:val="hybridMultilevel"/>
    <w:tmpl w:val="3DA0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466BA"/>
    <w:multiLevelType w:val="hybridMultilevel"/>
    <w:tmpl w:val="5E1E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C1C75"/>
    <w:multiLevelType w:val="hybridMultilevel"/>
    <w:tmpl w:val="BB6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B1806"/>
    <w:multiLevelType w:val="hybridMultilevel"/>
    <w:tmpl w:val="B5C4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930AC"/>
    <w:multiLevelType w:val="hybridMultilevel"/>
    <w:tmpl w:val="FB76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64A08"/>
    <w:multiLevelType w:val="hybridMultilevel"/>
    <w:tmpl w:val="D8E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13014">
    <w:abstractNumId w:val="4"/>
  </w:num>
  <w:num w:numId="2" w16cid:durableId="1106654190">
    <w:abstractNumId w:val="13"/>
  </w:num>
  <w:num w:numId="3" w16cid:durableId="451553360">
    <w:abstractNumId w:val="5"/>
  </w:num>
  <w:num w:numId="4" w16cid:durableId="1612981015">
    <w:abstractNumId w:val="10"/>
  </w:num>
  <w:num w:numId="5" w16cid:durableId="1085344177">
    <w:abstractNumId w:val="0"/>
  </w:num>
  <w:num w:numId="6" w16cid:durableId="2013528275">
    <w:abstractNumId w:val="7"/>
  </w:num>
  <w:num w:numId="7" w16cid:durableId="1962958475">
    <w:abstractNumId w:val="9"/>
  </w:num>
  <w:num w:numId="8" w16cid:durableId="722219838">
    <w:abstractNumId w:val="1"/>
  </w:num>
  <w:num w:numId="9" w16cid:durableId="3096487">
    <w:abstractNumId w:val="3"/>
  </w:num>
  <w:num w:numId="10" w16cid:durableId="922644265">
    <w:abstractNumId w:val="8"/>
  </w:num>
  <w:num w:numId="11" w16cid:durableId="1112626432">
    <w:abstractNumId w:val="2"/>
  </w:num>
  <w:num w:numId="12" w16cid:durableId="190723768">
    <w:abstractNumId w:val="12"/>
  </w:num>
  <w:num w:numId="13" w16cid:durableId="2120834536">
    <w:abstractNumId w:val="6"/>
  </w:num>
  <w:num w:numId="14" w16cid:durableId="1977180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3261CF"/>
    <w:rsid w:val="003379A2"/>
    <w:rsid w:val="00370F5E"/>
    <w:rsid w:val="003C61A2"/>
    <w:rsid w:val="00483C49"/>
    <w:rsid w:val="00493901"/>
    <w:rsid w:val="0049491D"/>
    <w:rsid w:val="004E4FCF"/>
    <w:rsid w:val="004F2F59"/>
    <w:rsid w:val="00547832"/>
    <w:rsid w:val="00550296"/>
    <w:rsid w:val="005A4D21"/>
    <w:rsid w:val="005D6FEC"/>
    <w:rsid w:val="005E1E89"/>
    <w:rsid w:val="00632FC7"/>
    <w:rsid w:val="006A3BE2"/>
    <w:rsid w:val="006D78ED"/>
    <w:rsid w:val="006F5701"/>
    <w:rsid w:val="006F7174"/>
    <w:rsid w:val="007025BC"/>
    <w:rsid w:val="00706238"/>
    <w:rsid w:val="00722F1A"/>
    <w:rsid w:val="007411A2"/>
    <w:rsid w:val="007924E0"/>
    <w:rsid w:val="007976B8"/>
    <w:rsid w:val="007F2524"/>
    <w:rsid w:val="00806807"/>
    <w:rsid w:val="00807254"/>
    <w:rsid w:val="00832507"/>
    <w:rsid w:val="00882718"/>
    <w:rsid w:val="008B41A8"/>
    <w:rsid w:val="008C793A"/>
    <w:rsid w:val="008F0BD8"/>
    <w:rsid w:val="00921E9E"/>
    <w:rsid w:val="009575C2"/>
    <w:rsid w:val="00987F12"/>
    <w:rsid w:val="009D3C4E"/>
    <w:rsid w:val="009E634E"/>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 w:id="13109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Kimberly Jackson</cp:lastModifiedBy>
  <cp:revision>4</cp:revision>
  <dcterms:created xsi:type="dcterms:W3CDTF">2022-09-14T14:46:00Z</dcterms:created>
  <dcterms:modified xsi:type="dcterms:W3CDTF">2022-09-14T14:48:00Z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