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298" w:rsidRPr="00120D8B" w:rsidRDefault="001E1298">
      <w:pPr>
        <w:pStyle w:val="Title"/>
        <w:rPr>
          <w:rFonts w:ascii="Arial" w:hAnsi="Arial" w:cs="Arial"/>
          <w:sz w:val="20"/>
        </w:rPr>
      </w:pPr>
      <w:r w:rsidRPr="00120D8B">
        <w:rPr>
          <w:rFonts w:ascii="Arial" w:hAnsi="Arial" w:cs="Arial"/>
          <w:sz w:val="20"/>
        </w:rPr>
        <w:t>Management’s Discussion and Analysis</w:t>
      </w:r>
    </w:p>
    <w:p w:rsidR="001E1298" w:rsidRPr="00120D8B" w:rsidRDefault="001E1298">
      <w:pPr>
        <w:jc w:val="center"/>
        <w:rPr>
          <w:rFonts w:ascii="Arial" w:hAnsi="Arial" w:cs="Arial"/>
          <w:sz w:val="20"/>
        </w:rPr>
      </w:pPr>
      <w:r w:rsidRPr="00120D8B">
        <w:rPr>
          <w:rFonts w:ascii="Arial" w:hAnsi="Arial" w:cs="Arial"/>
          <w:sz w:val="20"/>
        </w:rPr>
        <w:t>(Unaudited)</w:t>
      </w:r>
    </w:p>
    <w:p w:rsidR="001E1298" w:rsidRPr="00120D8B" w:rsidRDefault="001E1298">
      <w:pPr>
        <w:rPr>
          <w:rFonts w:ascii="Arial" w:hAnsi="Arial" w:cs="Arial"/>
          <w:sz w:val="20"/>
        </w:rPr>
      </w:pPr>
    </w:p>
    <w:p w:rsidR="001E1298" w:rsidRPr="00120D8B" w:rsidRDefault="001E1298">
      <w:pPr>
        <w:pStyle w:val="BodyText"/>
        <w:jc w:val="both"/>
        <w:rPr>
          <w:rFonts w:ascii="Arial" w:hAnsi="Arial" w:cs="Arial"/>
          <w:sz w:val="20"/>
        </w:rPr>
      </w:pPr>
      <w:r w:rsidRPr="00120D8B">
        <w:rPr>
          <w:rFonts w:ascii="Arial" w:hAnsi="Arial" w:cs="Arial"/>
          <w:sz w:val="20"/>
        </w:rPr>
        <w:t>As management of the District, we offer readers of the District’s financial statements this narrative overview and analysis of the financial activities of the District fo</w:t>
      </w:r>
      <w:r w:rsidR="0065573C">
        <w:rPr>
          <w:rFonts w:ascii="Arial" w:hAnsi="Arial" w:cs="Arial"/>
          <w:sz w:val="20"/>
        </w:rPr>
        <w:t>r the year ended August 31</w:t>
      </w:r>
      <w:proofErr w:type="gramStart"/>
      <w:r w:rsidR="0065573C">
        <w:rPr>
          <w:rFonts w:ascii="Arial" w:hAnsi="Arial" w:cs="Arial"/>
          <w:sz w:val="20"/>
        </w:rPr>
        <w:t>,</w:t>
      </w:r>
      <w:proofErr w:type="gramEnd"/>
      <w:r w:rsidR="00137E72">
        <w:rPr>
          <w:rFonts w:ascii="Arial" w:hAnsi="Arial" w:cs="Arial"/>
          <w:sz w:val="20"/>
        </w:rPr>
        <w:fldChar w:fldCharType="begin"/>
      </w:r>
      <w:r w:rsidR="00137E72">
        <w:rPr>
          <w:rFonts w:ascii="Arial" w:hAnsi="Arial" w:cs="Arial"/>
          <w:sz w:val="20"/>
        </w:rPr>
        <w:instrText xml:space="preserve"> DOCVARIABLE Date@Engagement©Date@Amount@Report@[CP]@C@All@All@@@@@\@ "yyyy" \* MERGEFORMAT </w:instrText>
      </w:r>
      <w:r w:rsidR="00137E72">
        <w:rPr>
          <w:rFonts w:ascii="Arial" w:hAnsi="Arial" w:cs="Arial"/>
          <w:sz w:val="20"/>
        </w:rPr>
        <w:fldChar w:fldCharType="separate"/>
      </w:r>
      <w:r w:rsidR="00943950">
        <w:rPr>
          <w:rFonts w:ascii="Arial" w:hAnsi="Arial" w:cs="Arial"/>
          <w:sz w:val="20"/>
        </w:rPr>
        <w:t>2015</w:t>
      </w:r>
      <w:r w:rsidR="00137E72">
        <w:rPr>
          <w:rFonts w:ascii="Arial" w:hAnsi="Arial" w:cs="Arial"/>
          <w:sz w:val="20"/>
        </w:rPr>
        <w:fldChar w:fldCharType="end"/>
      </w:r>
      <w:r w:rsidR="0065573C">
        <w:rPr>
          <w:rFonts w:ascii="Arial" w:hAnsi="Arial" w:cs="Arial"/>
          <w:sz w:val="20"/>
        </w:rPr>
        <w:t xml:space="preserve"> </w:t>
      </w:r>
      <w:r w:rsidRPr="00120D8B">
        <w:rPr>
          <w:rFonts w:ascii="Arial" w:hAnsi="Arial" w:cs="Arial"/>
          <w:sz w:val="20"/>
        </w:rPr>
        <w:t>.</w:t>
      </w:r>
      <w:r w:rsidR="00550D17">
        <w:rPr>
          <w:rFonts w:ascii="Arial" w:hAnsi="Arial" w:cs="Arial"/>
          <w:sz w:val="20"/>
        </w:rPr>
        <w:t xml:space="preserve"> </w:t>
      </w:r>
      <w:r w:rsidRPr="00120D8B">
        <w:rPr>
          <w:rFonts w:ascii="Arial" w:hAnsi="Arial" w:cs="Arial"/>
          <w:sz w:val="20"/>
        </w:rPr>
        <w:t>We encourage readers to consider the information presented here in conjunction with the District’s financial statements, which follow this section.</w:t>
      </w:r>
    </w:p>
    <w:p w:rsidR="001E1298" w:rsidRPr="00120D8B" w:rsidRDefault="001E1298">
      <w:pPr>
        <w:jc w:val="both"/>
        <w:rPr>
          <w:rFonts w:ascii="Arial" w:hAnsi="Arial" w:cs="Arial"/>
          <w:sz w:val="20"/>
        </w:rPr>
      </w:pPr>
    </w:p>
    <w:p w:rsidR="001E1298" w:rsidRPr="00120D8B" w:rsidRDefault="001E1298">
      <w:pPr>
        <w:pStyle w:val="Heading1"/>
        <w:jc w:val="both"/>
        <w:rPr>
          <w:rFonts w:ascii="Arial" w:hAnsi="Arial" w:cs="Arial"/>
          <w:sz w:val="20"/>
        </w:rPr>
      </w:pPr>
      <w:r w:rsidRPr="00120D8B">
        <w:rPr>
          <w:rFonts w:ascii="Arial" w:hAnsi="Arial" w:cs="Arial"/>
          <w:sz w:val="20"/>
        </w:rPr>
        <w:t>Financial Highlights</w:t>
      </w:r>
    </w:p>
    <w:p w:rsidR="001E1298" w:rsidRPr="003B4D5A" w:rsidRDefault="001E1298" w:rsidP="0030197B">
      <w:pPr>
        <w:numPr>
          <w:ilvl w:val="0"/>
          <w:numId w:val="14"/>
        </w:numPr>
        <w:jc w:val="both"/>
        <w:rPr>
          <w:rFonts w:ascii="Arial" w:hAnsi="Arial" w:cs="Arial"/>
          <w:sz w:val="20"/>
        </w:rPr>
      </w:pPr>
      <w:r w:rsidRPr="00120D8B">
        <w:rPr>
          <w:rFonts w:ascii="Arial" w:hAnsi="Arial" w:cs="Arial"/>
          <w:sz w:val="20"/>
        </w:rPr>
        <w:t xml:space="preserve">The assets of </w:t>
      </w:r>
      <w:r w:rsidRPr="003B4D5A">
        <w:rPr>
          <w:rFonts w:ascii="Arial" w:hAnsi="Arial" w:cs="Arial"/>
          <w:sz w:val="20"/>
        </w:rPr>
        <w:t>the District exceeded its liabilities at the close of the most recent per</w:t>
      </w:r>
      <w:r w:rsidR="0065573C" w:rsidRPr="003B4D5A">
        <w:rPr>
          <w:rFonts w:ascii="Arial" w:hAnsi="Arial" w:cs="Arial"/>
          <w:sz w:val="20"/>
        </w:rPr>
        <w:t xml:space="preserve">iod by </w:t>
      </w:r>
      <w:r w:rsidR="004D27BE" w:rsidRPr="003B4D5A">
        <w:rPr>
          <w:rFonts w:ascii="Arial" w:hAnsi="Arial" w:cs="Arial"/>
          <w:sz w:val="20"/>
        </w:rPr>
        <w:t>$</w:t>
      </w:r>
      <w:r w:rsidR="00B64019">
        <w:rPr>
          <w:rFonts w:ascii="Arial" w:hAnsi="Arial" w:cs="Arial"/>
          <w:sz w:val="20"/>
        </w:rPr>
        <w:t>5,730,156</w:t>
      </w:r>
      <w:r w:rsidR="003B4D5A" w:rsidRPr="003B4D5A">
        <w:rPr>
          <w:rFonts w:ascii="Arial" w:hAnsi="Arial" w:cs="Arial"/>
          <w:sz w:val="20"/>
        </w:rPr>
        <w:t xml:space="preserve"> </w:t>
      </w:r>
      <w:r w:rsidRPr="003B4D5A">
        <w:rPr>
          <w:rFonts w:ascii="Arial" w:hAnsi="Arial" w:cs="Arial"/>
          <w:sz w:val="20"/>
        </w:rPr>
        <w:t>(</w:t>
      </w:r>
      <w:r w:rsidRPr="003B4D5A">
        <w:rPr>
          <w:rFonts w:ascii="Arial" w:hAnsi="Arial" w:cs="Arial"/>
          <w:i/>
          <w:sz w:val="20"/>
        </w:rPr>
        <w:t xml:space="preserve">net </w:t>
      </w:r>
      <w:r w:rsidR="00180A6D" w:rsidRPr="003B4D5A">
        <w:rPr>
          <w:rFonts w:ascii="Arial" w:hAnsi="Arial" w:cs="Arial"/>
          <w:i/>
          <w:sz w:val="20"/>
        </w:rPr>
        <w:t>position</w:t>
      </w:r>
      <w:r w:rsidR="0065573C" w:rsidRPr="003B4D5A">
        <w:rPr>
          <w:rFonts w:ascii="Arial" w:hAnsi="Arial" w:cs="Arial"/>
          <w:sz w:val="20"/>
        </w:rPr>
        <w:t>). Of this amount, $</w:t>
      </w:r>
      <w:r w:rsidR="00B64019">
        <w:rPr>
          <w:rFonts w:ascii="Arial" w:hAnsi="Arial" w:cs="Arial"/>
          <w:sz w:val="20"/>
        </w:rPr>
        <w:t>1,416,174</w:t>
      </w:r>
      <w:r w:rsidR="00BD1CD6" w:rsidRPr="003B4D5A">
        <w:rPr>
          <w:rFonts w:ascii="Arial" w:hAnsi="Arial" w:cs="Arial"/>
          <w:sz w:val="20"/>
        </w:rPr>
        <w:t xml:space="preserve"> </w:t>
      </w:r>
      <w:r w:rsidRPr="003B4D5A">
        <w:rPr>
          <w:rFonts w:ascii="Arial" w:hAnsi="Arial" w:cs="Arial"/>
          <w:sz w:val="20"/>
        </w:rPr>
        <w:t>(</w:t>
      </w:r>
      <w:r w:rsidRPr="003B4D5A">
        <w:rPr>
          <w:rFonts w:ascii="Arial" w:hAnsi="Arial" w:cs="Arial"/>
          <w:i/>
          <w:sz w:val="20"/>
        </w:rPr>
        <w:t>unrestricted net</w:t>
      </w:r>
      <w:r w:rsidRPr="003B4D5A">
        <w:rPr>
          <w:rFonts w:ascii="Arial" w:hAnsi="Arial" w:cs="Arial"/>
          <w:sz w:val="20"/>
        </w:rPr>
        <w:t xml:space="preserve"> </w:t>
      </w:r>
      <w:r w:rsidR="00180A6D" w:rsidRPr="003B4D5A">
        <w:rPr>
          <w:rFonts w:ascii="Arial" w:hAnsi="Arial" w:cs="Arial"/>
          <w:i/>
          <w:sz w:val="20"/>
        </w:rPr>
        <w:t>position</w:t>
      </w:r>
      <w:r w:rsidRPr="003B4D5A">
        <w:rPr>
          <w:rFonts w:ascii="Arial" w:hAnsi="Arial" w:cs="Arial"/>
          <w:sz w:val="20"/>
        </w:rPr>
        <w:t>) may be used to meet the District’s ongoing obligations.</w:t>
      </w:r>
    </w:p>
    <w:p w:rsidR="001E1298" w:rsidRPr="003B4D5A" w:rsidRDefault="001E1298">
      <w:pPr>
        <w:numPr>
          <w:ilvl w:val="0"/>
          <w:numId w:val="15"/>
        </w:numPr>
        <w:jc w:val="both"/>
        <w:rPr>
          <w:rFonts w:ascii="Arial" w:hAnsi="Arial" w:cs="Arial"/>
          <w:sz w:val="20"/>
        </w:rPr>
      </w:pPr>
      <w:r w:rsidRPr="003B4D5A">
        <w:rPr>
          <w:rFonts w:ascii="Arial" w:hAnsi="Arial" w:cs="Arial"/>
          <w:sz w:val="20"/>
        </w:rPr>
        <w:t>As of the close of the current fiscal year, the District’s governmental funds reported combined ending fund balanc</w:t>
      </w:r>
      <w:r w:rsidR="00602AA0" w:rsidRPr="003B4D5A">
        <w:rPr>
          <w:rFonts w:ascii="Arial" w:hAnsi="Arial" w:cs="Arial"/>
          <w:sz w:val="20"/>
        </w:rPr>
        <w:t>es</w:t>
      </w:r>
      <w:r w:rsidR="0065573C" w:rsidRPr="003B4D5A">
        <w:rPr>
          <w:rFonts w:ascii="Arial" w:hAnsi="Arial" w:cs="Arial"/>
          <w:sz w:val="20"/>
        </w:rPr>
        <w:t xml:space="preserve"> of $</w:t>
      </w:r>
      <w:r w:rsidR="00A84CE1">
        <w:rPr>
          <w:rFonts w:ascii="Arial" w:hAnsi="Arial" w:cs="Arial"/>
          <w:sz w:val="20"/>
        </w:rPr>
        <w:t>1,826,748</w:t>
      </w:r>
      <w:r w:rsidR="00602AA0" w:rsidRPr="003B4D5A">
        <w:rPr>
          <w:rFonts w:ascii="Arial" w:hAnsi="Arial" w:cs="Arial"/>
          <w:sz w:val="20"/>
        </w:rPr>
        <w:t>. Approxim</w:t>
      </w:r>
      <w:r w:rsidR="001F6EDE" w:rsidRPr="003B4D5A">
        <w:rPr>
          <w:rFonts w:ascii="Arial" w:hAnsi="Arial" w:cs="Arial"/>
          <w:sz w:val="20"/>
        </w:rPr>
        <w:t>ately</w:t>
      </w:r>
      <w:r w:rsidRPr="003B4D5A">
        <w:rPr>
          <w:rFonts w:ascii="Arial" w:hAnsi="Arial" w:cs="Arial"/>
          <w:sz w:val="20"/>
        </w:rPr>
        <w:t xml:space="preserve"> </w:t>
      </w:r>
      <w:r w:rsidR="00A84CE1">
        <w:rPr>
          <w:rFonts w:ascii="Arial" w:hAnsi="Arial" w:cs="Arial"/>
          <w:sz w:val="20"/>
        </w:rPr>
        <w:t>61</w:t>
      </w:r>
      <w:r w:rsidR="0030197B" w:rsidRPr="003B4D5A">
        <w:rPr>
          <w:rFonts w:ascii="Arial" w:hAnsi="Arial" w:cs="Arial"/>
          <w:sz w:val="20"/>
        </w:rPr>
        <w:t>%</w:t>
      </w:r>
      <w:r w:rsidR="00A84CE1">
        <w:rPr>
          <w:rFonts w:ascii="Arial" w:hAnsi="Arial" w:cs="Arial"/>
          <w:sz w:val="20"/>
        </w:rPr>
        <w:t xml:space="preserve"> of this total amount, $1,114,530</w:t>
      </w:r>
      <w:r w:rsidRPr="003B4D5A">
        <w:rPr>
          <w:rFonts w:ascii="Arial" w:hAnsi="Arial" w:cs="Arial"/>
          <w:sz w:val="20"/>
        </w:rPr>
        <w:t xml:space="preserve">, is </w:t>
      </w:r>
      <w:r w:rsidRPr="003B4D5A">
        <w:rPr>
          <w:rFonts w:ascii="Arial" w:hAnsi="Arial" w:cs="Arial"/>
          <w:i/>
          <w:sz w:val="20"/>
        </w:rPr>
        <w:t>available for spending</w:t>
      </w:r>
      <w:r w:rsidRPr="003B4D5A">
        <w:rPr>
          <w:rFonts w:ascii="Arial" w:hAnsi="Arial" w:cs="Arial"/>
          <w:sz w:val="20"/>
        </w:rPr>
        <w:t xml:space="preserve"> at the government’s discretion (</w:t>
      </w:r>
      <w:r w:rsidRPr="003B4D5A">
        <w:rPr>
          <w:rFonts w:ascii="Arial" w:hAnsi="Arial" w:cs="Arial"/>
          <w:i/>
          <w:sz w:val="20"/>
        </w:rPr>
        <w:t>un</w:t>
      </w:r>
      <w:r w:rsidR="009E6AA7" w:rsidRPr="003B4D5A">
        <w:rPr>
          <w:rFonts w:ascii="Arial" w:hAnsi="Arial" w:cs="Arial"/>
          <w:i/>
          <w:sz w:val="20"/>
        </w:rPr>
        <w:t>assigned</w:t>
      </w:r>
      <w:r w:rsidRPr="003B4D5A">
        <w:rPr>
          <w:rFonts w:ascii="Arial" w:hAnsi="Arial" w:cs="Arial"/>
          <w:i/>
          <w:sz w:val="20"/>
        </w:rPr>
        <w:t xml:space="preserve"> fund</w:t>
      </w:r>
      <w:r w:rsidRPr="003B4D5A">
        <w:rPr>
          <w:rFonts w:ascii="Arial" w:hAnsi="Arial" w:cs="Arial"/>
          <w:sz w:val="20"/>
        </w:rPr>
        <w:t xml:space="preserve"> </w:t>
      </w:r>
      <w:r w:rsidRPr="003B4D5A">
        <w:rPr>
          <w:rFonts w:ascii="Arial" w:hAnsi="Arial" w:cs="Arial"/>
          <w:i/>
          <w:sz w:val="20"/>
        </w:rPr>
        <w:t>balance</w:t>
      </w:r>
      <w:r w:rsidRPr="003B4D5A">
        <w:rPr>
          <w:rFonts w:ascii="Arial" w:hAnsi="Arial" w:cs="Arial"/>
          <w:sz w:val="20"/>
        </w:rPr>
        <w:t>).</w:t>
      </w:r>
    </w:p>
    <w:p w:rsidR="001E1298" w:rsidRPr="003B4D5A" w:rsidRDefault="001E1298">
      <w:pPr>
        <w:numPr>
          <w:ilvl w:val="0"/>
          <w:numId w:val="16"/>
        </w:numPr>
        <w:jc w:val="both"/>
        <w:rPr>
          <w:rFonts w:ascii="Arial" w:hAnsi="Arial" w:cs="Arial"/>
          <w:sz w:val="20"/>
        </w:rPr>
      </w:pPr>
      <w:r w:rsidRPr="003B4D5A">
        <w:rPr>
          <w:rFonts w:ascii="Arial" w:hAnsi="Arial" w:cs="Arial"/>
          <w:sz w:val="20"/>
        </w:rPr>
        <w:t>At the end of the current fiscal year, un</w:t>
      </w:r>
      <w:r w:rsidR="009E6AA7" w:rsidRPr="003B4D5A">
        <w:rPr>
          <w:rFonts w:ascii="Arial" w:hAnsi="Arial" w:cs="Arial"/>
          <w:sz w:val="20"/>
        </w:rPr>
        <w:t xml:space="preserve">assigned </w:t>
      </w:r>
      <w:r w:rsidRPr="003B4D5A">
        <w:rPr>
          <w:rFonts w:ascii="Arial" w:hAnsi="Arial" w:cs="Arial"/>
          <w:sz w:val="20"/>
        </w:rPr>
        <w:t>fund balance for t</w:t>
      </w:r>
      <w:r w:rsidR="00602AA0" w:rsidRPr="003B4D5A">
        <w:rPr>
          <w:rFonts w:ascii="Arial" w:hAnsi="Arial" w:cs="Arial"/>
          <w:sz w:val="20"/>
        </w:rPr>
        <w:t>he g</w:t>
      </w:r>
      <w:r w:rsidR="009B0CA9" w:rsidRPr="003B4D5A">
        <w:rPr>
          <w:rFonts w:ascii="Arial" w:hAnsi="Arial" w:cs="Arial"/>
          <w:sz w:val="20"/>
        </w:rPr>
        <w:t>eneral fund was $</w:t>
      </w:r>
      <w:r w:rsidR="00A84CE1">
        <w:rPr>
          <w:rFonts w:ascii="Arial" w:hAnsi="Arial" w:cs="Arial"/>
          <w:sz w:val="20"/>
        </w:rPr>
        <w:t>1,114,530</w:t>
      </w:r>
      <w:r w:rsidR="001F6EDE" w:rsidRPr="003B4D5A">
        <w:rPr>
          <w:rFonts w:ascii="Arial" w:hAnsi="Arial" w:cs="Arial"/>
          <w:sz w:val="20"/>
        </w:rPr>
        <w:t xml:space="preserve">, or </w:t>
      </w:r>
      <w:r w:rsidR="00A84CE1">
        <w:rPr>
          <w:rFonts w:ascii="Arial" w:hAnsi="Arial" w:cs="Arial"/>
          <w:sz w:val="20"/>
        </w:rPr>
        <w:t>23</w:t>
      </w:r>
      <w:r w:rsidR="0030197B" w:rsidRPr="003B4D5A">
        <w:rPr>
          <w:rFonts w:ascii="Arial" w:hAnsi="Arial" w:cs="Arial"/>
          <w:sz w:val="20"/>
        </w:rPr>
        <w:t>%</w:t>
      </w:r>
      <w:r w:rsidRPr="003B4D5A">
        <w:rPr>
          <w:rFonts w:ascii="Arial" w:hAnsi="Arial" w:cs="Arial"/>
          <w:sz w:val="20"/>
        </w:rPr>
        <w:t xml:space="preserve"> of the total general fund expenditures.</w:t>
      </w:r>
    </w:p>
    <w:p w:rsidR="001E1298" w:rsidRPr="00120D8B" w:rsidRDefault="001E1298">
      <w:pPr>
        <w:jc w:val="both"/>
        <w:rPr>
          <w:rFonts w:ascii="Arial" w:hAnsi="Arial" w:cs="Arial"/>
          <w:sz w:val="20"/>
        </w:rPr>
      </w:pPr>
    </w:p>
    <w:p w:rsidR="001E1298" w:rsidRPr="00120D8B" w:rsidRDefault="001E1298">
      <w:pPr>
        <w:pStyle w:val="Heading1"/>
        <w:jc w:val="both"/>
        <w:rPr>
          <w:rFonts w:ascii="Arial" w:hAnsi="Arial" w:cs="Arial"/>
          <w:sz w:val="20"/>
        </w:rPr>
      </w:pPr>
      <w:r w:rsidRPr="00120D8B">
        <w:rPr>
          <w:rFonts w:ascii="Arial" w:hAnsi="Arial" w:cs="Arial"/>
          <w:sz w:val="20"/>
        </w:rPr>
        <w:t>Overview of the Financial Statements</w:t>
      </w:r>
    </w:p>
    <w:p w:rsidR="001E1298" w:rsidRPr="00120D8B" w:rsidRDefault="001E1298">
      <w:pPr>
        <w:jc w:val="both"/>
        <w:rPr>
          <w:rFonts w:ascii="Arial" w:hAnsi="Arial" w:cs="Arial"/>
          <w:sz w:val="20"/>
        </w:rPr>
      </w:pPr>
      <w:r w:rsidRPr="00120D8B">
        <w:rPr>
          <w:rFonts w:ascii="Arial" w:hAnsi="Arial" w:cs="Arial"/>
          <w:sz w:val="20"/>
        </w:rPr>
        <w:t>This discussion and analysis are intended to serve as an introduction to the District’s basic financial statements.</w:t>
      </w:r>
      <w:r w:rsidR="00550D17">
        <w:rPr>
          <w:rFonts w:ascii="Arial" w:hAnsi="Arial" w:cs="Arial"/>
          <w:sz w:val="20"/>
        </w:rPr>
        <w:t xml:space="preserve"> </w:t>
      </w:r>
      <w:r w:rsidRPr="00120D8B">
        <w:rPr>
          <w:rFonts w:ascii="Arial" w:hAnsi="Arial" w:cs="Arial"/>
          <w:sz w:val="20"/>
        </w:rPr>
        <w:t>The District’s basic financial statements are comprised of three components: (1) government-wide financial statements, (2) fund financial statements, and (3) notes to the financial statements.</w:t>
      </w:r>
      <w:r w:rsidR="00550D17">
        <w:rPr>
          <w:rFonts w:ascii="Arial" w:hAnsi="Arial" w:cs="Arial"/>
          <w:sz w:val="20"/>
        </w:rPr>
        <w:t xml:space="preserve"> </w:t>
      </w:r>
      <w:r w:rsidRPr="00120D8B">
        <w:rPr>
          <w:rFonts w:ascii="Arial" w:hAnsi="Arial" w:cs="Arial"/>
          <w:sz w:val="20"/>
        </w:rPr>
        <w:t>This report also contains other supplementary information in addition to the basic financial statements themselves.</w:t>
      </w:r>
    </w:p>
    <w:p w:rsidR="001E1298" w:rsidRPr="00120D8B" w:rsidRDefault="001E1298">
      <w:pPr>
        <w:jc w:val="both"/>
        <w:rPr>
          <w:rFonts w:ascii="Arial" w:hAnsi="Arial" w:cs="Arial"/>
          <w:sz w:val="20"/>
        </w:rPr>
      </w:pPr>
    </w:p>
    <w:p w:rsidR="001E1298" w:rsidRPr="00120D8B" w:rsidRDefault="001E1298">
      <w:pPr>
        <w:jc w:val="both"/>
        <w:rPr>
          <w:rFonts w:ascii="Arial" w:hAnsi="Arial" w:cs="Arial"/>
          <w:sz w:val="20"/>
        </w:rPr>
      </w:pPr>
      <w:proofErr w:type="gramStart"/>
      <w:r w:rsidRPr="00120D8B">
        <w:rPr>
          <w:rFonts w:ascii="Arial" w:hAnsi="Arial" w:cs="Arial"/>
          <w:b/>
          <w:sz w:val="20"/>
        </w:rPr>
        <w:t>Government-wide financial statements.</w:t>
      </w:r>
      <w:proofErr w:type="gramEnd"/>
      <w:r w:rsidR="00550D17">
        <w:rPr>
          <w:rFonts w:ascii="Arial" w:hAnsi="Arial" w:cs="Arial"/>
          <w:sz w:val="20"/>
        </w:rPr>
        <w:t xml:space="preserve"> </w:t>
      </w:r>
      <w:r w:rsidRPr="00120D8B">
        <w:rPr>
          <w:rFonts w:ascii="Arial" w:hAnsi="Arial" w:cs="Arial"/>
          <w:sz w:val="20"/>
        </w:rPr>
        <w:t xml:space="preserve">The </w:t>
      </w:r>
      <w:r w:rsidRPr="00120D8B">
        <w:rPr>
          <w:rFonts w:ascii="Arial" w:hAnsi="Arial" w:cs="Arial"/>
          <w:i/>
          <w:sz w:val="20"/>
        </w:rPr>
        <w:t>government-wide financial statements</w:t>
      </w:r>
      <w:r w:rsidRPr="00120D8B">
        <w:rPr>
          <w:rFonts w:ascii="Arial" w:hAnsi="Arial" w:cs="Arial"/>
          <w:sz w:val="20"/>
        </w:rPr>
        <w:t xml:space="preserve"> are designed to provide readers with a broad overview of the District’s finances, in a manner similar to a private-sector business.</w:t>
      </w:r>
    </w:p>
    <w:p w:rsidR="001E1298" w:rsidRPr="00120D8B" w:rsidRDefault="001E1298">
      <w:pPr>
        <w:jc w:val="both"/>
        <w:rPr>
          <w:rFonts w:ascii="Arial" w:hAnsi="Arial" w:cs="Arial"/>
          <w:sz w:val="20"/>
        </w:rPr>
      </w:pPr>
    </w:p>
    <w:p w:rsidR="001E1298" w:rsidRPr="00120D8B" w:rsidRDefault="001E1298">
      <w:pPr>
        <w:jc w:val="both"/>
        <w:rPr>
          <w:rFonts w:ascii="Arial" w:hAnsi="Arial" w:cs="Arial"/>
          <w:sz w:val="20"/>
        </w:rPr>
      </w:pPr>
      <w:r w:rsidRPr="00120D8B">
        <w:rPr>
          <w:rFonts w:ascii="Arial" w:hAnsi="Arial" w:cs="Arial"/>
          <w:sz w:val="20"/>
        </w:rPr>
        <w:t xml:space="preserve">The </w:t>
      </w:r>
      <w:r w:rsidRPr="00120D8B">
        <w:rPr>
          <w:rFonts w:ascii="Arial" w:hAnsi="Arial" w:cs="Arial"/>
          <w:i/>
          <w:sz w:val="20"/>
        </w:rPr>
        <w:t xml:space="preserve">statement of net </w:t>
      </w:r>
      <w:r w:rsidR="00180A6D">
        <w:rPr>
          <w:rFonts w:ascii="Arial" w:hAnsi="Arial" w:cs="Arial"/>
          <w:i/>
          <w:sz w:val="20"/>
        </w:rPr>
        <w:t>position</w:t>
      </w:r>
      <w:r w:rsidRPr="00120D8B">
        <w:rPr>
          <w:rFonts w:ascii="Arial" w:hAnsi="Arial" w:cs="Arial"/>
          <w:sz w:val="20"/>
        </w:rPr>
        <w:t xml:space="preserve"> presents information on all of the District’s assets and liabilities, with the difference between the two reported as </w:t>
      </w:r>
      <w:r w:rsidR="00180A6D">
        <w:rPr>
          <w:rFonts w:ascii="Arial" w:hAnsi="Arial" w:cs="Arial"/>
          <w:i/>
          <w:sz w:val="20"/>
        </w:rPr>
        <w:t>net position</w:t>
      </w:r>
      <w:r w:rsidRPr="00120D8B">
        <w:rPr>
          <w:rFonts w:ascii="Arial" w:hAnsi="Arial" w:cs="Arial"/>
          <w:i/>
          <w:sz w:val="20"/>
        </w:rPr>
        <w:t>.</w:t>
      </w:r>
      <w:r w:rsidR="00550D17">
        <w:rPr>
          <w:rFonts w:ascii="Arial" w:hAnsi="Arial" w:cs="Arial"/>
          <w:sz w:val="20"/>
        </w:rPr>
        <w:t xml:space="preserve"> </w:t>
      </w:r>
      <w:r w:rsidRPr="00120D8B">
        <w:rPr>
          <w:rFonts w:ascii="Arial" w:hAnsi="Arial" w:cs="Arial"/>
          <w:sz w:val="20"/>
        </w:rPr>
        <w:t xml:space="preserve">Over time, increases or decreases in net </w:t>
      </w:r>
      <w:r w:rsidR="00180A6D">
        <w:rPr>
          <w:rFonts w:ascii="Arial" w:hAnsi="Arial" w:cs="Arial"/>
          <w:sz w:val="20"/>
        </w:rPr>
        <w:t>position</w:t>
      </w:r>
      <w:r w:rsidRPr="00120D8B">
        <w:rPr>
          <w:rFonts w:ascii="Arial" w:hAnsi="Arial" w:cs="Arial"/>
          <w:sz w:val="20"/>
        </w:rPr>
        <w:t xml:space="preserve"> may serve as a useful indicator of whether the financial position of the District is improving or deteriorating.</w:t>
      </w:r>
    </w:p>
    <w:p w:rsidR="001E1298" w:rsidRPr="00120D8B" w:rsidRDefault="001E1298">
      <w:pPr>
        <w:jc w:val="both"/>
        <w:rPr>
          <w:rFonts w:ascii="Arial" w:hAnsi="Arial" w:cs="Arial"/>
          <w:sz w:val="20"/>
        </w:rPr>
      </w:pPr>
    </w:p>
    <w:p w:rsidR="001E1298" w:rsidRPr="00120D8B" w:rsidRDefault="001E1298">
      <w:pPr>
        <w:jc w:val="both"/>
        <w:rPr>
          <w:rFonts w:ascii="Arial" w:hAnsi="Arial" w:cs="Arial"/>
          <w:sz w:val="20"/>
        </w:rPr>
      </w:pPr>
      <w:r w:rsidRPr="00120D8B">
        <w:rPr>
          <w:rFonts w:ascii="Arial" w:hAnsi="Arial" w:cs="Arial"/>
          <w:sz w:val="20"/>
        </w:rPr>
        <w:t xml:space="preserve">The </w:t>
      </w:r>
      <w:r w:rsidRPr="00120D8B">
        <w:rPr>
          <w:rFonts w:ascii="Arial" w:hAnsi="Arial" w:cs="Arial"/>
          <w:i/>
          <w:sz w:val="20"/>
        </w:rPr>
        <w:t>statement of activities</w:t>
      </w:r>
      <w:r w:rsidRPr="00120D8B">
        <w:rPr>
          <w:rFonts w:ascii="Arial" w:hAnsi="Arial" w:cs="Arial"/>
          <w:sz w:val="20"/>
        </w:rPr>
        <w:t xml:space="preserve"> presents information for all of the current year’s revenues and expenses regardless of when cash is received or paid.</w:t>
      </w:r>
      <w:r w:rsidR="00550D17">
        <w:rPr>
          <w:rFonts w:ascii="Arial" w:hAnsi="Arial" w:cs="Arial"/>
          <w:sz w:val="20"/>
        </w:rPr>
        <w:t xml:space="preserve"> </w:t>
      </w:r>
      <w:r w:rsidRPr="00120D8B">
        <w:rPr>
          <w:rFonts w:ascii="Arial" w:hAnsi="Arial" w:cs="Arial"/>
          <w:sz w:val="20"/>
        </w:rPr>
        <w:t>Thus, revenues and expenses are reported in this statement for some items that will only result in cash flows in future fiscal periods.</w:t>
      </w:r>
    </w:p>
    <w:p w:rsidR="001E1298" w:rsidRPr="00120D8B" w:rsidRDefault="001E1298">
      <w:pPr>
        <w:jc w:val="both"/>
        <w:rPr>
          <w:rFonts w:ascii="Arial" w:hAnsi="Arial" w:cs="Arial"/>
          <w:sz w:val="20"/>
        </w:rPr>
      </w:pPr>
    </w:p>
    <w:p w:rsidR="001E1298" w:rsidRPr="00944EB1" w:rsidRDefault="001E1298">
      <w:pPr>
        <w:jc w:val="both"/>
        <w:rPr>
          <w:rFonts w:ascii="Arial" w:hAnsi="Arial" w:cs="Arial"/>
          <w:sz w:val="20"/>
        </w:rPr>
      </w:pPr>
      <w:r w:rsidRPr="00120D8B">
        <w:rPr>
          <w:rFonts w:ascii="Arial" w:hAnsi="Arial" w:cs="Arial"/>
          <w:sz w:val="20"/>
        </w:rPr>
        <w:t>Both of the District’s government-wide financial statements distinguish the functions of the District as being principally supported by taxes and intergovernmental revenues (</w:t>
      </w:r>
      <w:r w:rsidRPr="00120D8B">
        <w:rPr>
          <w:rFonts w:ascii="Arial" w:hAnsi="Arial" w:cs="Arial"/>
          <w:i/>
          <w:sz w:val="20"/>
        </w:rPr>
        <w:t>governmental activities</w:t>
      </w:r>
      <w:r w:rsidRPr="00120D8B">
        <w:rPr>
          <w:rFonts w:ascii="Arial" w:hAnsi="Arial" w:cs="Arial"/>
          <w:sz w:val="20"/>
        </w:rPr>
        <w:t xml:space="preserve">) as opposed to </w:t>
      </w:r>
      <w:r w:rsidRPr="00120D8B">
        <w:rPr>
          <w:rFonts w:ascii="Arial" w:hAnsi="Arial" w:cs="Arial"/>
          <w:i/>
          <w:sz w:val="20"/>
        </w:rPr>
        <w:t>business-type activities</w:t>
      </w:r>
      <w:r w:rsidRPr="00120D8B">
        <w:rPr>
          <w:rFonts w:ascii="Arial" w:hAnsi="Arial" w:cs="Arial"/>
          <w:sz w:val="20"/>
        </w:rPr>
        <w:t xml:space="preserve"> that are intended to recover all or a significant portion of their costs</w:t>
      </w:r>
      <w:r w:rsidR="00BD1CD6">
        <w:rPr>
          <w:rFonts w:ascii="Arial" w:hAnsi="Arial" w:cs="Arial"/>
          <w:sz w:val="20"/>
        </w:rPr>
        <w:t xml:space="preserve"> through user fees and charges.</w:t>
      </w:r>
      <w:r w:rsidRPr="00120D8B">
        <w:rPr>
          <w:rFonts w:ascii="Arial" w:hAnsi="Arial" w:cs="Arial"/>
          <w:sz w:val="20"/>
        </w:rPr>
        <w:t xml:space="preserve"> The District has no </w:t>
      </w:r>
      <w:r w:rsidRPr="00120D8B">
        <w:rPr>
          <w:rFonts w:ascii="Arial" w:hAnsi="Arial" w:cs="Arial"/>
          <w:i/>
          <w:sz w:val="20"/>
        </w:rPr>
        <w:t xml:space="preserve">business-type activities </w:t>
      </w:r>
      <w:r w:rsidRPr="00120D8B">
        <w:rPr>
          <w:rFonts w:ascii="Arial" w:hAnsi="Arial" w:cs="Arial"/>
          <w:sz w:val="20"/>
        </w:rPr>
        <w:t>and</w:t>
      </w:r>
      <w:r w:rsidRPr="00120D8B">
        <w:rPr>
          <w:rFonts w:ascii="Arial" w:hAnsi="Arial" w:cs="Arial"/>
          <w:i/>
          <w:sz w:val="20"/>
        </w:rPr>
        <w:t xml:space="preserve"> </w:t>
      </w:r>
      <w:r w:rsidRPr="00120D8B">
        <w:rPr>
          <w:rFonts w:ascii="Arial" w:hAnsi="Arial" w:cs="Arial"/>
          <w:sz w:val="20"/>
        </w:rPr>
        <w:t>no component units for which it is financially accountable.</w:t>
      </w:r>
      <w:r w:rsidR="00550D17">
        <w:rPr>
          <w:rFonts w:ascii="Arial" w:hAnsi="Arial" w:cs="Arial"/>
          <w:sz w:val="20"/>
        </w:rPr>
        <w:t xml:space="preserve"> </w:t>
      </w:r>
      <w:r w:rsidRPr="00120D8B">
        <w:rPr>
          <w:rFonts w:ascii="Arial" w:hAnsi="Arial" w:cs="Arial"/>
          <w:sz w:val="20"/>
        </w:rPr>
        <w:t>The government-wide financial state</w:t>
      </w:r>
      <w:r w:rsidR="00602AA0" w:rsidRPr="00120D8B">
        <w:rPr>
          <w:rFonts w:ascii="Arial" w:hAnsi="Arial" w:cs="Arial"/>
          <w:sz w:val="20"/>
        </w:rPr>
        <w:t xml:space="preserve">ments can be found on </w:t>
      </w:r>
      <w:r w:rsidR="00602AA0" w:rsidRPr="00B3722D">
        <w:rPr>
          <w:rFonts w:ascii="Arial" w:hAnsi="Arial" w:cs="Arial"/>
          <w:sz w:val="20"/>
        </w:rPr>
        <w:t xml:space="preserve">pages </w:t>
      </w:r>
      <w:r w:rsidR="00FB3FB0" w:rsidRPr="00A84CE1">
        <w:rPr>
          <w:rFonts w:ascii="Arial" w:hAnsi="Arial" w:cs="Arial"/>
          <w:sz w:val="20"/>
        </w:rPr>
        <w:t>1</w:t>
      </w:r>
      <w:r w:rsidR="00A84CE1" w:rsidRPr="00A84CE1">
        <w:rPr>
          <w:rFonts w:ascii="Arial" w:hAnsi="Arial" w:cs="Arial"/>
          <w:sz w:val="20"/>
        </w:rPr>
        <w:t>2</w:t>
      </w:r>
      <w:r w:rsidR="00602AA0" w:rsidRPr="00A84CE1">
        <w:rPr>
          <w:rFonts w:ascii="Arial" w:hAnsi="Arial" w:cs="Arial"/>
          <w:sz w:val="20"/>
        </w:rPr>
        <w:t>-</w:t>
      </w:r>
      <w:r w:rsidR="00180A6D" w:rsidRPr="00A84CE1">
        <w:rPr>
          <w:rFonts w:ascii="Arial" w:hAnsi="Arial" w:cs="Arial"/>
          <w:sz w:val="20"/>
        </w:rPr>
        <w:t>1</w:t>
      </w:r>
      <w:r w:rsidR="00A84CE1" w:rsidRPr="00A84CE1">
        <w:rPr>
          <w:rFonts w:ascii="Arial" w:hAnsi="Arial" w:cs="Arial"/>
          <w:sz w:val="20"/>
        </w:rPr>
        <w:t>3</w:t>
      </w:r>
      <w:r w:rsidRPr="00B3722D">
        <w:rPr>
          <w:rFonts w:ascii="Arial" w:hAnsi="Arial" w:cs="Arial"/>
          <w:sz w:val="20"/>
        </w:rPr>
        <w:t xml:space="preserve"> of</w:t>
      </w:r>
      <w:r w:rsidRPr="00944EB1">
        <w:rPr>
          <w:rFonts w:ascii="Arial" w:hAnsi="Arial" w:cs="Arial"/>
          <w:sz w:val="20"/>
        </w:rPr>
        <w:t xml:space="preserve"> this report.</w:t>
      </w:r>
    </w:p>
    <w:p w:rsidR="001E1298" w:rsidRPr="00944EB1" w:rsidRDefault="001E1298">
      <w:pPr>
        <w:jc w:val="both"/>
        <w:rPr>
          <w:rFonts w:ascii="Arial" w:hAnsi="Arial" w:cs="Arial"/>
          <w:sz w:val="20"/>
        </w:rPr>
      </w:pPr>
    </w:p>
    <w:p w:rsidR="001E1298" w:rsidRPr="00944EB1" w:rsidRDefault="001E1298">
      <w:pPr>
        <w:jc w:val="both"/>
        <w:rPr>
          <w:rFonts w:ascii="Arial" w:hAnsi="Arial" w:cs="Arial"/>
          <w:sz w:val="20"/>
        </w:rPr>
      </w:pPr>
      <w:proofErr w:type="gramStart"/>
      <w:r w:rsidRPr="00944EB1">
        <w:rPr>
          <w:rFonts w:ascii="Arial" w:hAnsi="Arial" w:cs="Arial"/>
          <w:b/>
          <w:sz w:val="20"/>
        </w:rPr>
        <w:t>Fund financial statements.</w:t>
      </w:r>
      <w:proofErr w:type="gramEnd"/>
      <w:r w:rsidR="00550D17">
        <w:rPr>
          <w:rFonts w:ascii="Arial" w:hAnsi="Arial" w:cs="Arial"/>
          <w:sz w:val="20"/>
        </w:rPr>
        <w:t xml:space="preserve"> </w:t>
      </w:r>
      <w:r w:rsidRPr="00944EB1">
        <w:rPr>
          <w:rFonts w:ascii="Arial" w:hAnsi="Arial" w:cs="Arial"/>
          <w:sz w:val="20"/>
        </w:rPr>
        <w:t xml:space="preserve">A </w:t>
      </w:r>
      <w:r w:rsidRPr="00944EB1">
        <w:rPr>
          <w:rFonts w:ascii="Arial" w:hAnsi="Arial" w:cs="Arial"/>
          <w:i/>
          <w:sz w:val="20"/>
        </w:rPr>
        <w:t>fund</w:t>
      </w:r>
      <w:r w:rsidRPr="00944EB1">
        <w:rPr>
          <w:rFonts w:ascii="Arial" w:hAnsi="Arial" w:cs="Arial"/>
          <w:sz w:val="20"/>
        </w:rPr>
        <w:t xml:space="preserve"> is a grouping of related accounts that is used to maintain control over resources that have been segregated for specific activities or objectives.</w:t>
      </w:r>
      <w:r w:rsidR="00BD1CD6">
        <w:rPr>
          <w:rFonts w:ascii="Arial" w:hAnsi="Arial" w:cs="Arial"/>
          <w:sz w:val="20"/>
        </w:rPr>
        <w:t xml:space="preserve"> </w:t>
      </w:r>
      <w:r w:rsidRPr="00944EB1">
        <w:rPr>
          <w:rFonts w:ascii="Arial" w:hAnsi="Arial" w:cs="Arial"/>
          <w:sz w:val="20"/>
        </w:rPr>
        <w:t>The District, like other state and local governments, uses fund accounting to ensure and demonstrate compliance with finance-related requirements.</w:t>
      </w:r>
      <w:r w:rsidR="00550D17">
        <w:rPr>
          <w:rFonts w:ascii="Arial" w:hAnsi="Arial" w:cs="Arial"/>
          <w:sz w:val="20"/>
        </w:rPr>
        <w:t xml:space="preserve"> </w:t>
      </w:r>
      <w:r w:rsidRPr="00944EB1">
        <w:rPr>
          <w:rFonts w:ascii="Arial" w:hAnsi="Arial" w:cs="Arial"/>
          <w:sz w:val="20"/>
        </w:rPr>
        <w:t>The fund financial statements provide more detailed information about the District’s most significant funds-not the District as a whole.</w:t>
      </w:r>
    </w:p>
    <w:p w:rsidR="001E1298" w:rsidRPr="00944EB1" w:rsidRDefault="001E1298">
      <w:pPr>
        <w:jc w:val="both"/>
        <w:rPr>
          <w:rFonts w:ascii="Arial" w:hAnsi="Arial" w:cs="Arial"/>
          <w:sz w:val="20"/>
        </w:rPr>
      </w:pPr>
    </w:p>
    <w:p w:rsidR="001E1298" w:rsidRPr="00944EB1" w:rsidRDefault="001E1298">
      <w:pPr>
        <w:numPr>
          <w:ilvl w:val="0"/>
          <w:numId w:val="17"/>
        </w:numPr>
        <w:jc w:val="both"/>
        <w:rPr>
          <w:rFonts w:ascii="Arial" w:hAnsi="Arial" w:cs="Arial"/>
          <w:sz w:val="20"/>
        </w:rPr>
      </w:pPr>
      <w:r w:rsidRPr="00944EB1">
        <w:rPr>
          <w:rFonts w:ascii="Arial" w:hAnsi="Arial" w:cs="Arial"/>
          <w:sz w:val="20"/>
        </w:rPr>
        <w:t>Some funds are required by State law and/or bond covenants.</w:t>
      </w:r>
    </w:p>
    <w:p w:rsidR="001E1298" w:rsidRPr="00944EB1" w:rsidRDefault="001E1298">
      <w:pPr>
        <w:numPr>
          <w:ilvl w:val="0"/>
          <w:numId w:val="17"/>
        </w:numPr>
        <w:jc w:val="both"/>
        <w:rPr>
          <w:rFonts w:ascii="Arial" w:hAnsi="Arial" w:cs="Arial"/>
          <w:sz w:val="20"/>
        </w:rPr>
      </w:pPr>
      <w:r w:rsidRPr="00944EB1">
        <w:rPr>
          <w:rFonts w:ascii="Arial" w:hAnsi="Arial" w:cs="Arial"/>
          <w:sz w:val="20"/>
        </w:rPr>
        <w:t>Other funds may be established by the Board to control and manage money for particular purposes or to show that it is properly using certain taxes or grants.</w:t>
      </w:r>
    </w:p>
    <w:p w:rsidR="001E1298" w:rsidRDefault="001E1298">
      <w:pPr>
        <w:jc w:val="both"/>
        <w:rPr>
          <w:rFonts w:ascii="Arial" w:hAnsi="Arial" w:cs="Arial"/>
          <w:sz w:val="20"/>
        </w:rPr>
      </w:pPr>
    </w:p>
    <w:p w:rsidR="00550D17" w:rsidRDefault="00550D17">
      <w:pPr>
        <w:jc w:val="both"/>
        <w:rPr>
          <w:rFonts w:ascii="Arial" w:hAnsi="Arial" w:cs="Arial"/>
          <w:sz w:val="20"/>
        </w:rPr>
      </w:pPr>
    </w:p>
    <w:p w:rsidR="00550D17" w:rsidRDefault="00550D17">
      <w:pPr>
        <w:jc w:val="both"/>
        <w:rPr>
          <w:rFonts w:ascii="Arial" w:hAnsi="Arial" w:cs="Arial"/>
          <w:sz w:val="20"/>
        </w:rPr>
      </w:pPr>
    </w:p>
    <w:p w:rsidR="00550D17" w:rsidRDefault="00550D17">
      <w:pPr>
        <w:jc w:val="both"/>
        <w:rPr>
          <w:rFonts w:ascii="Arial" w:hAnsi="Arial" w:cs="Arial"/>
          <w:sz w:val="20"/>
        </w:rPr>
      </w:pPr>
    </w:p>
    <w:p w:rsidR="00B3722D" w:rsidRDefault="00B3722D">
      <w:pPr>
        <w:jc w:val="both"/>
        <w:rPr>
          <w:rFonts w:ascii="Arial" w:hAnsi="Arial" w:cs="Arial"/>
          <w:sz w:val="20"/>
        </w:rPr>
      </w:pPr>
    </w:p>
    <w:p w:rsidR="00B3722D" w:rsidRDefault="00B3722D">
      <w:pPr>
        <w:jc w:val="both"/>
        <w:rPr>
          <w:rFonts w:ascii="Arial" w:hAnsi="Arial" w:cs="Arial"/>
          <w:sz w:val="20"/>
        </w:rPr>
      </w:pPr>
    </w:p>
    <w:p w:rsidR="001E1298" w:rsidRDefault="001E1298">
      <w:pPr>
        <w:jc w:val="both"/>
        <w:rPr>
          <w:rFonts w:ascii="Arial" w:hAnsi="Arial" w:cs="Arial"/>
          <w:sz w:val="20"/>
        </w:rPr>
      </w:pPr>
      <w:r w:rsidRPr="00944EB1">
        <w:rPr>
          <w:rFonts w:ascii="Arial" w:hAnsi="Arial" w:cs="Arial"/>
          <w:sz w:val="20"/>
        </w:rPr>
        <w:lastRenderedPageBreak/>
        <w:t>All of the funds of the District can be divided into two categories: governmental funds and fiduciary funds.</w:t>
      </w:r>
    </w:p>
    <w:p w:rsidR="00550D17" w:rsidRPr="00944EB1" w:rsidRDefault="00550D17">
      <w:pPr>
        <w:jc w:val="both"/>
        <w:rPr>
          <w:rFonts w:ascii="Arial" w:hAnsi="Arial" w:cs="Arial"/>
          <w:sz w:val="20"/>
        </w:rPr>
      </w:pPr>
    </w:p>
    <w:p w:rsidR="001E1298" w:rsidRPr="00A84CE1" w:rsidRDefault="001E1298">
      <w:pPr>
        <w:numPr>
          <w:ilvl w:val="0"/>
          <w:numId w:val="18"/>
        </w:numPr>
        <w:jc w:val="both"/>
        <w:rPr>
          <w:rFonts w:ascii="Arial" w:hAnsi="Arial" w:cs="Arial"/>
          <w:sz w:val="20"/>
        </w:rPr>
      </w:pPr>
      <w:r w:rsidRPr="00944EB1">
        <w:rPr>
          <w:rFonts w:ascii="Arial" w:hAnsi="Arial" w:cs="Arial"/>
          <w:b/>
          <w:i/>
          <w:sz w:val="20"/>
        </w:rPr>
        <w:t>Governmental funds</w:t>
      </w:r>
      <w:r w:rsidRPr="00944EB1">
        <w:rPr>
          <w:rFonts w:ascii="Arial" w:hAnsi="Arial" w:cs="Arial"/>
          <w:i/>
          <w:sz w:val="20"/>
        </w:rPr>
        <w:t>.</w:t>
      </w:r>
      <w:r w:rsidR="00550D17">
        <w:rPr>
          <w:rFonts w:ascii="Arial" w:hAnsi="Arial" w:cs="Arial"/>
          <w:i/>
          <w:sz w:val="20"/>
        </w:rPr>
        <w:t xml:space="preserve"> </w:t>
      </w:r>
      <w:r w:rsidRPr="00944EB1">
        <w:rPr>
          <w:rFonts w:ascii="Arial" w:hAnsi="Arial" w:cs="Arial"/>
          <w:i/>
          <w:sz w:val="20"/>
        </w:rPr>
        <w:t>Governmental funds</w:t>
      </w:r>
      <w:r w:rsidRPr="00944EB1">
        <w:rPr>
          <w:rFonts w:ascii="Arial" w:hAnsi="Arial" w:cs="Arial"/>
          <w:sz w:val="20"/>
        </w:rPr>
        <w:t xml:space="preserve"> are used to account for essentially the same functions reported as </w:t>
      </w:r>
      <w:r w:rsidRPr="00944EB1">
        <w:rPr>
          <w:rFonts w:ascii="Arial" w:hAnsi="Arial" w:cs="Arial"/>
          <w:i/>
          <w:sz w:val="20"/>
        </w:rPr>
        <w:t>governmental activities</w:t>
      </w:r>
      <w:r w:rsidRPr="00944EB1">
        <w:rPr>
          <w:rFonts w:ascii="Arial" w:hAnsi="Arial" w:cs="Arial"/>
          <w:sz w:val="20"/>
        </w:rPr>
        <w:t xml:space="preserve"> in the government-wide financial statements.</w:t>
      </w:r>
      <w:r w:rsidR="00550D17">
        <w:rPr>
          <w:rFonts w:ascii="Arial" w:hAnsi="Arial" w:cs="Arial"/>
          <w:sz w:val="20"/>
        </w:rPr>
        <w:t xml:space="preserve"> </w:t>
      </w:r>
      <w:r w:rsidRPr="00944EB1">
        <w:rPr>
          <w:rFonts w:ascii="Arial" w:hAnsi="Arial" w:cs="Arial"/>
          <w:sz w:val="20"/>
        </w:rPr>
        <w:t xml:space="preserve">However, unlike the government-wide financial statements, governmental fund financial statements focus on </w:t>
      </w:r>
      <w:r w:rsidRPr="00944EB1">
        <w:rPr>
          <w:rFonts w:ascii="Arial" w:hAnsi="Arial" w:cs="Arial"/>
          <w:i/>
          <w:sz w:val="20"/>
        </w:rPr>
        <w:t xml:space="preserve">near-term inflows and outflows of spendable resources, </w:t>
      </w:r>
      <w:r w:rsidRPr="00944EB1">
        <w:rPr>
          <w:rFonts w:ascii="Arial" w:hAnsi="Arial" w:cs="Arial"/>
          <w:sz w:val="20"/>
        </w:rPr>
        <w:t xml:space="preserve">as well as on </w:t>
      </w:r>
      <w:r w:rsidRPr="00944EB1">
        <w:rPr>
          <w:rFonts w:ascii="Arial" w:hAnsi="Arial" w:cs="Arial"/>
          <w:i/>
          <w:sz w:val="20"/>
        </w:rPr>
        <w:t>balances of spendable resources</w:t>
      </w:r>
      <w:r w:rsidRPr="00944EB1">
        <w:rPr>
          <w:rFonts w:ascii="Arial" w:hAnsi="Arial" w:cs="Arial"/>
          <w:sz w:val="20"/>
        </w:rPr>
        <w:t xml:space="preserve"> available at the end o</w:t>
      </w:r>
      <w:r w:rsidR="00BD1CD6">
        <w:rPr>
          <w:rFonts w:ascii="Arial" w:hAnsi="Arial" w:cs="Arial"/>
          <w:sz w:val="20"/>
        </w:rPr>
        <w:t xml:space="preserve">f the fiscal year. </w:t>
      </w:r>
      <w:r w:rsidRPr="00944EB1">
        <w:rPr>
          <w:rFonts w:ascii="Arial" w:hAnsi="Arial" w:cs="Arial"/>
          <w:sz w:val="20"/>
        </w:rPr>
        <w:t>Such information may be useful in evaluating a government’s near-term financing requirements.</w:t>
      </w:r>
      <w:r w:rsidR="00550D17">
        <w:rPr>
          <w:rFonts w:ascii="Arial" w:hAnsi="Arial" w:cs="Arial"/>
          <w:sz w:val="20"/>
        </w:rPr>
        <w:t xml:space="preserve"> </w:t>
      </w:r>
      <w:r w:rsidRPr="00944EB1">
        <w:rPr>
          <w:rFonts w:ascii="Arial" w:hAnsi="Arial" w:cs="Arial"/>
          <w:sz w:val="20"/>
        </w:rPr>
        <w:t xml:space="preserve">Because the focus of governmental funds is narrower than that of the government-wide financial statements, it is useful to compare the information presented for </w:t>
      </w:r>
      <w:r w:rsidRPr="00944EB1">
        <w:rPr>
          <w:rFonts w:ascii="Arial" w:hAnsi="Arial" w:cs="Arial"/>
          <w:i/>
          <w:sz w:val="20"/>
        </w:rPr>
        <w:t>governmental funds</w:t>
      </w:r>
      <w:r w:rsidRPr="00944EB1">
        <w:rPr>
          <w:rFonts w:ascii="Arial" w:hAnsi="Arial" w:cs="Arial"/>
          <w:sz w:val="20"/>
        </w:rPr>
        <w:t xml:space="preserve"> with similar information presented for </w:t>
      </w:r>
      <w:r w:rsidRPr="00944EB1">
        <w:rPr>
          <w:rFonts w:ascii="Arial" w:hAnsi="Arial" w:cs="Arial"/>
          <w:i/>
          <w:sz w:val="20"/>
        </w:rPr>
        <w:t>governmental activities</w:t>
      </w:r>
      <w:r w:rsidRPr="00944EB1">
        <w:rPr>
          <w:rFonts w:ascii="Arial" w:hAnsi="Arial" w:cs="Arial"/>
          <w:sz w:val="20"/>
        </w:rPr>
        <w:t xml:space="preserve"> in the government-wide financial statements.</w:t>
      </w:r>
      <w:r w:rsidR="00550D17">
        <w:rPr>
          <w:rFonts w:ascii="Arial" w:hAnsi="Arial" w:cs="Arial"/>
          <w:sz w:val="20"/>
        </w:rPr>
        <w:t xml:space="preserve"> </w:t>
      </w:r>
      <w:r w:rsidRPr="00944EB1">
        <w:rPr>
          <w:rFonts w:ascii="Arial" w:hAnsi="Arial" w:cs="Arial"/>
          <w:sz w:val="20"/>
        </w:rPr>
        <w:t>By doing so, readers may better understand the long-term impact of the government’s near-term financing deci</w:t>
      </w:r>
      <w:r w:rsidR="00BD1CD6">
        <w:rPr>
          <w:rFonts w:ascii="Arial" w:hAnsi="Arial" w:cs="Arial"/>
          <w:sz w:val="20"/>
        </w:rPr>
        <w:t>sions.</w:t>
      </w:r>
      <w:r w:rsidRPr="00944EB1">
        <w:rPr>
          <w:rFonts w:ascii="Arial" w:hAnsi="Arial" w:cs="Arial"/>
          <w:sz w:val="20"/>
        </w:rPr>
        <w:t xml:space="preserve"> Both the governmental fund balance sheet and the governmental fund statement of revenues, expenditures, and changes in fund balances provide a reconciliation to facilitate this comparison between </w:t>
      </w:r>
      <w:r w:rsidRPr="00944EB1">
        <w:rPr>
          <w:rFonts w:ascii="Arial" w:hAnsi="Arial" w:cs="Arial"/>
          <w:i/>
          <w:sz w:val="20"/>
        </w:rPr>
        <w:t>governmental funds</w:t>
      </w:r>
      <w:r w:rsidRPr="00944EB1">
        <w:rPr>
          <w:rFonts w:ascii="Arial" w:hAnsi="Arial" w:cs="Arial"/>
          <w:sz w:val="20"/>
        </w:rPr>
        <w:t xml:space="preserve"> and </w:t>
      </w:r>
      <w:r w:rsidRPr="00944EB1">
        <w:rPr>
          <w:rFonts w:ascii="Arial" w:hAnsi="Arial" w:cs="Arial"/>
          <w:i/>
          <w:sz w:val="20"/>
        </w:rPr>
        <w:t>governmental activities</w:t>
      </w:r>
      <w:r w:rsidRPr="00944EB1">
        <w:rPr>
          <w:rFonts w:ascii="Arial" w:hAnsi="Arial" w:cs="Arial"/>
          <w:sz w:val="20"/>
        </w:rPr>
        <w:t>.</w:t>
      </w:r>
      <w:r w:rsidR="00550D17">
        <w:rPr>
          <w:rFonts w:ascii="Arial" w:hAnsi="Arial" w:cs="Arial"/>
          <w:sz w:val="20"/>
        </w:rPr>
        <w:t xml:space="preserve"> </w:t>
      </w:r>
      <w:r w:rsidRPr="00944EB1">
        <w:rPr>
          <w:rFonts w:ascii="Arial" w:hAnsi="Arial" w:cs="Arial"/>
          <w:sz w:val="20"/>
        </w:rPr>
        <w:t xml:space="preserve">The District adopts an annual appropriated budget for its general fund, </w:t>
      </w:r>
      <w:r w:rsidRPr="00A84CE1">
        <w:rPr>
          <w:rFonts w:ascii="Arial" w:hAnsi="Arial" w:cs="Arial"/>
          <w:sz w:val="20"/>
        </w:rPr>
        <w:t>debt service fund and food service fund.</w:t>
      </w:r>
      <w:r w:rsidR="00550D17" w:rsidRPr="00A84CE1">
        <w:rPr>
          <w:rFonts w:ascii="Arial" w:hAnsi="Arial" w:cs="Arial"/>
          <w:sz w:val="20"/>
        </w:rPr>
        <w:t xml:space="preserve"> </w:t>
      </w:r>
      <w:r w:rsidRPr="00A84CE1">
        <w:rPr>
          <w:rFonts w:ascii="Arial" w:hAnsi="Arial" w:cs="Arial"/>
          <w:sz w:val="20"/>
        </w:rPr>
        <w:t>A budgetary comparison schedule has been provided to demonstrate compliance with these budgets.</w:t>
      </w:r>
      <w:r w:rsidR="00550D17" w:rsidRPr="00A84CE1">
        <w:rPr>
          <w:rFonts w:ascii="Arial" w:hAnsi="Arial" w:cs="Arial"/>
          <w:sz w:val="20"/>
        </w:rPr>
        <w:t xml:space="preserve"> </w:t>
      </w:r>
      <w:r w:rsidRPr="00A84CE1">
        <w:rPr>
          <w:rFonts w:ascii="Arial" w:hAnsi="Arial" w:cs="Arial"/>
          <w:sz w:val="20"/>
        </w:rPr>
        <w:t>The basic governmental fund financial statem</w:t>
      </w:r>
      <w:r w:rsidR="00602AA0" w:rsidRPr="00A84CE1">
        <w:rPr>
          <w:rFonts w:ascii="Arial" w:hAnsi="Arial" w:cs="Arial"/>
          <w:sz w:val="20"/>
        </w:rPr>
        <w:t xml:space="preserve">ents can be found on </w:t>
      </w:r>
      <w:r w:rsidR="00FB3FB0" w:rsidRPr="00A84CE1">
        <w:rPr>
          <w:rFonts w:ascii="Arial" w:hAnsi="Arial" w:cs="Arial"/>
          <w:sz w:val="20"/>
        </w:rPr>
        <w:t xml:space="preserve">pages </w:t>
      </w:r>
      <w:r w:rsidR="00FB4B81" w:rsidRPr="00A84CE1">
        <w:rPr>
          <w:rFonts w:ascii="Arial" w:hAnsi="Arial" w:cs="Arial"/>
          <w:sz w:val="20"/>
        </w:rPr>
        <w:t>1</w:t>
      </w:r>
      <w:r w:rsidR="00A84CE1" w:rsidRPr="00A84CE1">
        <w:rPr>
          <w:rFonts w:ascii="Arial" w:hAnsi="Arial" w:cs="Arial"/>
          <w:sz w:val="20"/>
        </w:rPr>
        <w:t>4</w:t>
      </w:r>
      <w:r w:rsidR="00602AA0" w:rsidRPr="00A84CE1">
        <w:rPr>
          <w:rFonts w:ascii="Arial" w:hAnsi="Arial" w:cs="Arial"/>
          <w:sz w:val="20"/>
        </w:rPr>
        <w:t>-1</w:t>
      </w:r>
      <w:r w:rsidR="00A84CE1" w:rsidRPr="00A84CE1">
        <w:rPr>
          <w:rFonts w:ascii="Arial" w:hAnsi="Arial" w:cs="Arial"/>
          <w:sz w:val="20"/>
        </w:rPr>
        <w:t>7</w:t>
      </w:r>
      <w:r w:rsidRPr="00A84CE1">
        <w:rPr>
          <w:rFonts w:ascii="Arial" w:hAnsi="Arial" w:cs="Arial"/>
          <w:sz w:val="20"/>
        </w:rPr>
        <w:t xml:space="preserve"> of this report.</w:t>
      </w:r>
    </w:p>
    <w:p w:rsidR="001E1298" w:rsidRPr="00A84CE1" w:rsidRDefault="001E1298">
      <w:pPr>
        <w:jc w:val="both"/>
        <w:rPr>
          <w:rFonts w:ascii="Arial" w:hAnsi="Arial" w:cs="Arial"/>
          <w:sz w:val="20"/>
        </w:rPr>
      </w:pPr>
    </w:p>
    <w:p w:rsidR="001E1298" w:rsidRPr="00A84CE1" w:rsidRDefault="001E1298">
      <w:pPr>
        <w:numPr>
          <w:ilvl w:val="0"/>
          <w:numId w:val="19"/>
        </w:numPr>
        <w:jc w:val="both"/>
        <w:rPr>
          <w:rFonts w:ascii="Arial" w:hAnsi="Arial" w:cs="Arial"/>
          <w:sz w:val="20"/>
        </w:rPr>
      </w:pPr>
      <w:r w:rsidRPr="00A84CE1">
        <w:rPr>
          <w:rFonts w:ascii="Arial" w:hAnsi="Arial" w:cs="Arial"/>
          <w:b/>
          <w:i/>
          <w:sz w:val="20"/>
        </w:rPr>
        <w:t>Fiduciary funds</w:t>
      </w:r>
      <w:r w:rsidRPr="00A84CE1">
        <w:rPr>
          <w:rFonts w:ascii="Arial" w:hAnsi="Arial" w:cs="Arial"/>
          <w:sz w:val="20"/>
        </w:rPr>
        <w:t>.</w:t>
      </w:r>
      <w:r w:rsidR="00550D17" w:rsidRPr="00A84CE1">
        <w:rPr>
          <w:rFonts w:ascii="Arial" w:hAnsi="Arial" w:cs="Arial"/>
          <w:sz w:val="20"/>
        </w:rPr>
        <w:t xml:space="preserve"> </w:t>
      </w:r>
      <w:r w:rsidRPr="00A84CE1">
        <w:rPr>
          <w:rFonts w:ascii="Arial" w:hAnsi="Arial" w:cs="Arial"/>
          <w:i/>
          <w:sz w:val="20"/>
        </w:rPr>
        <w:t xml:space="preserve">Fiduciary funds </w:t>
      </w:r>
      <w:r w:rsidRPr="00A84CE1">
        <w:rPr>
          <w:rFonts w:ascii="Arial" w:hAnsi="Arial" w:cs="Arial"/>
          <w:sz w:val="20"/>
        </w:rPr>
        <w:t>are used to account for resources held for the benefit of parties outside the government.</w:t>
      </w:r>
      <w:r w:rsidR="00550D17" w:rsidRPr="00A84CE1">
        <w:rPr>
          <w:rFonts w:ascii="Arial" w:hAnsi="Arial" w:cs="Arial"/>
          <w:sz w:val="20"/>
        </w:rPr>
        <w:t xml:space="preserve"> </w:t>
      </w:r>
      <w:r w:rsidRPr="00A84CE1">
        <w:rPr>
          <w:rFonts w:ascii="Arial" w:hAnsi="Arial" w:cs="Arial"/>
          <w:sz w:val="20"/>
        </w:rPr>
        <w:t xml:space="preserve">Fiduciary funds are </w:t>
      </w:r>
      <w:r w:rsidRPr="00A84CE1">
        <w:rPr>
          <w:rFonts w:ascii="Arial" w:hAnsi="Arial" w:cs="Arial"/>
          <w:i/>
          <w:sz w:val="20"/>
        </w:rPr>
        <w:t>not</w:t>
      </w:r>
      <w:r w:rsidRPr="00A84CE1">
        <w:rPr>
          <w:rFonts w:ascii="Arial" w:hAnsi="Arial" w:cs="Arial"/>
          <w:sz w:val="20"/>
        </w:rPr>
        <w:t xml:space="preserve"> reflected in the government-wide financial statements because the resources of those funds are </w:t>
      </w:r>
      <w:r w:rsidRPr="00A84CE1">
        <w:rPr>
          <w:rFonts w:ascii="Arial" w:hAnsi="Arial" w:cs="Arial"/>
          <w:i/>
          <w:sz w:val="20"/>
        </w:rPr>
        <w:t>not</w:t>
      </w:r>
      <w:r w:rsidRPr="00A84CE1">
        <w:rPr>
          <w:rFonts w:ascii="Arial" w:hAnsi="Arial" w:cs="Arial"/>
          <w:sz w:val="20"/>
        </w:rPr>
        <w:t xml:space="preserve"> available to support the District’s own programs.</w:t>
      </w:r>
      <w:r w:rsidR="00550D17" w:rsidRPr="00A84CE1">
        <w:rPr>
          <w:rFonts w:ascii="Arial" w:hAnsi="Arial" w:cs="Arial"/>
          <w:sz w:val="20"/>
        </w:rPr>
        <w:t xml:space="preserve"> </w:t>
      </w:r>
      <w:r w:rsidRPr="00A84CE1">
        <w:rPr>
          <w:rFonts w:ascii="Arial" w:hAnsi="Arial" w:cs="Arial"/>
          <w:sz w:val="20"/>
        </w:rPr>
        <w:t xml:space="preserve">The District is the trustee, or </w:t>
      </w:r>
      <w:r w:rsidRPr="00A84CE1">
        <w:rPr>
          <w:rFonts w:ascii="Arial" w:hAnsi="Arial" w:cs="Arial"/>
          <w:i/>
          <w:sz w:val="20"/>
        </w:rPr>
        <w:t>fiduciary</w:t>
      </w:r>
      <w:r w:rsidRPr="00A84CE1">
        <w:rPr>
          <w:rFonts w:ascii="Arial" w:hAnsi="Arial" w:cs="Arial"/>
          <w:sz w:val="20"/>
        </w:rPr>
        <w:t>, for these funds and is responsible for ensuring that the assets reported in these funds are used for their intended purposes.</w:t>
      </w:r>
      <w:r w:rsidR="00550D17" w:rsidRPr="00A84CE1">
        <w:rPr>
          <w:rFonts w:ascii="Arial" w:hAnsi="Arial" w:cs="Arial"/>
          <w:sz w:val="20"/>
        </w:rPr>
        <w:t xml:space="preserve"> </w:t>
      </w:r>
      <w:r w:rsidRPr="00A84CE1">
        <w:rPr>
          <w:rFonts w:ascii="Arial" w:hAnsi="Arial" w:cs="Arial"/>
          <w:sz w:val="20"/>
        </w:rPr>
        <w:t>All of the District’s fiduciary activities are reported in a separate statement of fiduciary net ass</w:t>
      </w:r>
      <w:r w:rsidR="00602AA0" w:rsidRPr="00A84CE1">
        <w:rPr>
          <w:rFonts w:ascii="Arial" w:hAnsi="Arial" w:cs="Arial"/>
          <w:sz w:val="20"/>
        </w:rPr>
        <w:t>ets that can be found on page 1</w:t>
      </w:r>
      <w:r w:rsidR="00A84CE1" w:rsidRPr="00A84CE1">
        <w:rPr>
          <w:rFonts w:ascii="Arial" w:hAnsi="Arial" w:cs="Arial"/>
          <w:sz w:val="20"/>
        </w:rPr>
        <w:t>8</w:t>
      </w:r>
      <w:r w:rsidRPr="00A84CE1">
        <w:rPr>
          <w:rFonts w:ascii="Arial" w:hAnsi="Arial" w:cs="Arial"/>
          <w:sz w:val="20"/>
        </w:rPr>
        <w:t>.</w:t>
      </w:r>
      <w:r w:rsidR="00550D17" w:rsidRPr="00A84CE1">
        <w:rPr>
          <w:rFonts w:ascii="Arial" w:hAnsi="Arial" w:cs="Arial"/>
          <w:sz w:val="20"/>
        </w:rPr>
        <w:t xml:space="preserve"> </w:t>
      </w:r>
    </w:p>
    <w:p w:rsidR="001E1298" w:rsidRPr="00A84CE1" w:rsidRDefault="001E1298">
      <w:pPr>
        <w:jc w:val="both"/>
        <w:rPr>
          <w:rFonts w:ascii="Arial" w:hAnsi="Arial" w:cs="Arial"/>
          <w:b/>
          <w:sz w:val="20"/>
        </w:rPr>
      </w:pPr>
    </w:p>
    <w:p w:rsidR="001E1298" w:rsidRPr="00A84CE1" w:rsidRDefault="001E1298">
      <w:pPr>
        <w:numPr>
          <w:ilvl w:val="0"/>
          <w:numId w:val="19"/>
        </w:numPr>
        <w:jc w:val="both"/>
        <w:rPr>
          <w:rFonts w:ascii="Arial" w:hAnsi="Arial" w:cs="Arial"/>
          <w:sz w:val="20"/>
        </w:rPr>
      </w:pPr>
      <w:r w:rsidRPr="00A84CE1">
        <w:rPr>
          <w:rFonts w:ascii="Arial" w:hAnsi="Arial" w:cs="Arial"/>
          <w:b/>
          <w:sz w:val="20"/>
        </w:rPr>
        <w:t>Notes to the financial statements.</w:t>
      </w:r>
      <w:r w:rsidR="00550D17" w:rsidRPr="00A84CE1">
        <w:rPr>
          <w:rFonts w:ascii="Arial" w:hAnsi="Arial" w:cs="Arial"/>
          <w:b/>
          <w:sz w:val="20"/>
        </w:rPr>
        <w:t xml:space="preserve"> </w:t>
      </w:r>
      <w:r w:rsidRPr="00A84CE1">
        <w:rPr>
          <w:rFonts w:ascii="Arial" w:hAnsi="Arial" w:cs="Arial"/>
          <w:sz w:val="20"/>
        </w:rPr>
        <w:t>The notes provide additional information that is essential to a complete understanding of the data provided in the government-wide and fund financial statements.</w:t>
      </w:r>
      <w:r w:rsidR="00550D17" w:rsidRPr="00A84CE1">
        <w:rPr>
          <w:rFonts w:ascii="Arial" w:hAnsi="Arial" w:cs="Arial"/>
          <w:sz w:val="20"/>
        </w:rPr>
        <w:t xml:space="preserve"> </w:t>
      </w:r>
      <w:r w:rsidRPr="00A84CE1">
        <w:rPr>
          <w:rFonts w:ascii="Arial" w:hAnsi="Arial" w:cs="Arial"/>
          <w:sz w:val="20"/>
        </w:rPr>
        <w:t>The notes to the financial statem</w:t>
      </w:r>
      <w:r w:rsidR="00B03E81" w:rsidRPr="00A84CE1">
        <w:rPr>
          <w:rFonts w:ascii="Arial" w:hAnsi="Arial" w:cs="Arial"/>
          <w:sz w:val="20"/>
        </w:rPr>
        <w:t>ents can be found on pages 1</w:t>
      </w:r>
      <w:r w:rsidR="00A84CE1" w:rsidRPr="00A84CE1">
        <w:rPr>
          <w:rFonts w:ascii="Arial" w:hAnsi="Arial" w:cs="Arial"/>
          <w:sz w:val="20"/>
        </w:rPr>
        <w:t>9</w:t>
      </w:r>
      <w:r w:rsidR="00B03E81" w:rsidRPr="00A84CE1">
        <w:rPr>
          <w:rFonts w:ascii="Arial" w:hAnsi="Arial" w:cs="Arial"/>
          <w:sz w:val="20"/>
        </w:rPr>
        <w:t>-</w:t>
      </w:r>
      <w:r w:rsidR="00A84CE1" w:rsidRPr="00A84CE1">
        <w:rPr>
          <w:rFonts w:ascii="Arial" w:hAnsi="Arial" w:cs="Arial"/>
          <w:sz w:val="20"/>
        </w:rPr>
        <w:t>36</w:t>
      </w:r>
      <w:r w:rsidRPr="00A84CE1">
        <w:rPr>
          <w:rFonts w:ascii="Arial" w:hAnsi="Arial" w:cs="Arial"/>
          <w:sz w:val="20"/>
        </w:rPr>
        <w:t xml:space="preserve"> of this report.</w:t>
      </w:r>
    </w:p>
    <w:p w:rsidR="001E1298" w:rsidRPr="00A84CE1" w:rsidRDefault="001E1298">
      <w:pPr>
        <w:jc w:val="both"/>
        <w:rPr>
          <w:rFonts w:ascii="Arial" w:hAnsi="Arial" w:cs="Arial"/>
          <w:sz w:val="20"/>
        </w:rPr>
      </w:pPr>
    </w:p>
    <w:p w:rsidR="001E1298" w:rsidRDefault="001E1298">
      <w:pPr>
        <w:jc w:val="both"/>
        <w:rPr>
          <w:rFonts w:ascii="Arial" w:hAnsi="Arial" w:cs="Arial"/>
          <w:sz w:val="20"/>
        </w:rPr>
      </w:pPr>
      <w:proofErr w:type="gramStart"/>
      <w:r w:rsidRPr="00A84CE1">
        <w:rPr>
          <w:rFonts w:ascii="Arial" w:hAnsi="Arial" w:cs="Arial"/>
          <w:b/>
          <w:sz w:val="20"/>
        </w:rPr>
        <w:t>Other information.</w:t>
      </w:r>
      <w:proofErr w:type="gramEnd"/>
      <w:r w:rsidR="00550D17" w:rsidRPr="00A84CE1">
        <w:rPr>
          <w:rFonts w:ascii="Arial" w:hAnsi="Arial" w:cs="Arial"/>
          <w:sz w:val="20"/>
        </w:rPr>
        <w:t xml:space="preserve"> </w:t>
      </w:r>
      <w:r w:rsidRPr="00A84CE1">
        <w:rPr>
          <w:rFonts w:ascii="Arial" w:hAnsi="Arial" w:cs="Arial"/>
          <w:sz w:val="20"/>
        </w:rPr>
        <w:t xml:space="preserve">In addition to the basic financial statements and accompanying notes, this report also presents certain </w:t>
      </w:r>
      <w:r w:rsidRPr="00A84CE1">
        <w:rPr>
          <w:rFonts w:ascii="Arial" w:hAnsi="Arial" w:cs="Arial"/>
          <w:i/>
          <w:sz w:val="20"/>
        </w:rPr>
        <w:t>required supplementary information</w:t>
      </w:r>
      <w:r w:rsidRPr="00A84CE1">
        <w:rPr>
          <w:rFonts w:ascii="Arial" w:hAnsi="Arial" w:cs="Arial"/>
          <w:sz w:val="20"/>
        </w:rPr>
        <w:t xml:space="preserve"> that further explains and supports the information in the financial statements.</w:t>
      </w:r>
      <w:r w:rsidR="00550D17" w:rsidRPr="00A84CE1">
        <w:rPr>
          <w:rFonts w:ascii="Arial" w:hAnsi="Arial" w:cs="Arial"/>
          <w:sz w:val="20"/>
        </w:rPr>
        <w:t xml:space="preserve"> </w:t>
      </w:r>
      <w:r w:rsidRPr="00A84CE1">
        <w:rPr>
          <w:rFonts w:ascii="Arial" w:hAnsi="Arial" w:cs="Arial"/>
          <w:sz w:val="20"/>
        </w:rPr>
        <w:t>Required supplementary inf</w:t>
      </w:r>
      <w:r w:rsidR="00B03E81" w:rsidRPr="00A84CE1">
        <w:rPr>
          <w:rFonts w:ascii="Arial" w:hAnsi="Arial" w:cs="Arial"/>
          <w:sz w:val="20"/>
        </w:rPr>
        <w:t>ormation can be found on page</w:t>
      </w:r>
      <w:r w:rsidR="00493BE3" w:rsidRPr="00A84CE1">
        <w:rPr>
          <w:rFonts w:ascii="Arial" w:hAnsi="Arial" w:cs="Arial"/>
          <w:sz w:val="20"/>
        </w:rPr>
        <w:t>s</w:t>
      </w:r>
      <w:r w:rsidR="00B03E81" w:rsidRPr="00A84CE1">
        <w:rPr>
          <w:rFonts w:ascii="Arial" w:hAnsi="Arial" w:cs="Arial"/>
          <w:sz w:val="20"/>
        </w:rPr>
        <w:t xml:space="preserve"> </w:t>
      </w:r>
      <w:r w:rsidR="00FB4B81" w:rsidRPr="00A84CE1">
        <w:rPr>
          <w:rFonts w:ascii="Arial" w:hAnsi="Arial" w:cs="Arial"/>
          <w:sz w:val="20"/>
        </w:rPr>
        <w:t>3</w:t>
      </w:r>
      <w:r w:rsidR="00A84CE1" w:rsidRPr="00A84CE1">
        <w:rPr>
          <w:rFonts w:ascii="Arial" w:hAnsi="Arial" w:cs="Arial"/>
          <w:sz w:val="20"/>
        </w:rPr>
        <w:t>7</w:t>
      </w:r>
      <w:r w:rsidR="00493BE3" w:rsidRPr="00A84CE1">
        <w:rPr>
          <w:rFonts w:ascii="Arial" w:hAnsi="Arial" w:cs="Arial"/>
          <w:sz w:val="20"/>
        </w:rPr>
        <w:t>-</w:t>
      </w:r>
      <w:r w:rsidR="00A84CE1" w:rsidRPr="00A84CE1">
        <w:rPr>
          <w:rFonts w:ascii="Arial" w:hAnsi="Arial" w:cs="Arial"/>
          <w:sz w:val="20"/>
        </w:rPr>
        <w:t>4</w:t>
      </w:r>
      <w:r w:rsidR="00A84CE1">
        <w:rPr>
          <w:rFonts w:ascii="Arial" w:hAnsi="Arial" w:cs="Arial"/>
          <w:sz w:val="20"/>
        </w:rPr>
        <w:t>1</w:t>
      </w:r>
      <w:r w:rsidR="00B31202" w:rsidRPr="00A84CE1">
        <w:rPr>
          <w:rFonts w:ascii="Arial" w:hAnsi="Arial" w:cs="Arial"/>
          <w:sz w:val="20"/>
        </w:rPr>
        <w:t xml:space="preserve"> </w:t>
      </w:r>
      <w:r w:rsidRPr="00A84CE1">
        <w:rPr>
          <w:rFonts w:ascii="Arial" w:hAnsi="Arial" w:cs="Arial"/>
          <w:sz w:val="20"/>
        </w:rPr>
        <w:t>of this</w:t>
      </w:r>
      <w:r w:rsidRPr="00B3722D">
        <w:rPr>
          <w:rFonts w:ascii="Arial" w:hAnsi="Arial" w:cs="Arial"/>
          <w:sz w:val="20"/>
        </w:rPr>
        <w:t xml:space="preserve"> report.</w:t>
      </w: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2D15A6" w:rsidRDefault="002D15A6">
      <w:pPr>
        <w:jc w:val="both"/>
        <w:rPr>
          <w:rFonts w:ascii="Arial" w:hAnsi="Arial" w:cs="Arial"/>
          <w:sz w:val="20"/>
        </w:rPr>
      </w:pPr>
    </w:p>
    <w:p w:rsidR="002D15A6" w:rsidRDefault="002D15A6">
      <w:pPr>
        <w:jc w:val="both"/>
        <w:rPr>
          <w:rFonts w:ascii="Arial" w:hAnsi="Arial" w:cs="Arial"/>
          <w:sz w:val="20"/>
        </w:rPr>
      </w:pPr>
    </w:p>
    <w:p w:rsidR="002D15A6" w:rsidRDefault="002D15A6">
      <w:pPr>
        <w:jc w:val="both"/>
        <w:rPr>
          <w:rFonts w:ascii="Arial" w:hAnsi="Arial" w:cs="Arial"/>
          <w:sz w:val="20"/>
        </w:rPr>
      </w:pPr>
    </w:p>
    <w:p w:rsidR="002D15A6" w:rsidRDefault="002D15A6">
      <w:pPr>
        <w:jc w:val="both"/>
        <w:rPr>
          <w:rFonts w:ascii="Arial" w:hAnsi="Arial" w:cs="Arial"/>
          <w:sz w:val="20"/>
        </w:rPr>
      </w:pPr>
    </w:p>
    <w:p w:rsidR="001E1298" w:rsidRPr="00120D8B" w:rsidRDefault="001E1298">
      <w:pPr>
        <w:pStyle w:val="Heading1"/>
        <w:jc w:val="both"/>
        <w:rPr>
          <w:rFonts w:ascii="Arial" w:hAnsi="Arial" w:cs="Arial"/>
          <w:sz w:val="20"/>
        </w:rPr>
      </w:pPr>
      <w:r w:rsidRPr="00120D8B">
        <w:rPr>
          <w:rFonts w:ascii="Arial" w:hAnsi="Arial" w:cs="Arial"/>
          <w:sz w:val="20"/>
        </w:rPr>
        <w:lastRenderedPageBreak/>
        <w:t>Government-wide Financial Analysis</w:t>
      </w:r>
    </w:p>
    <w:p w:rsidR="001E1298" w:rsidRDefault="00FB4B81">
      <w:pPr>
        <w:pStyle w:val="BodyText"/>
        <w:jc w:val="both"/>
        <w:rPr>
          <w:rFonts w:ascii="Arial" w:hAnsi="Arial" w:cs="Arial"/>
          <w:sz w:val="20"/>
        </w:rPr>
      </w:pPr>
      <w:r>
        <w:rPr>
          <w:rFonts w:ascii="Arial" w:hAnsi="Arial" w:cs="Arial"/>
          <w:sz w:val="20"/>
        </w:rPr>
        <w:t>As noted earlier, net position</w:t>
      </w:r>
      <w:r w:rsidR="001E1298" w:rsidRPr="00120D8B">
        <w:rPr>
          <w:rFonts w:ascii="Arial" w:hAnsi="Arial" w:cs="Arial"/>
          <w:sz w:val="20"/>
        </w:rPr>
        <w:t xml:space="preserve"> may serve over time as a useful indicator of a government’s financial position.</w:t>
      </w:r>
      <w:r w:rsidR="00550D17">
        <w:rPr>
          <w:rFonts w:ascii="Arial" w:hAnsi="Arial" w:cs="Arial"/>
          <w:sz w:val="20"/>
        </w:rPr>
        <w:t xml:space="preserve"> </w:t>
      </w:r>
      <w:r w:rsidR="001E1298" w:rsidRPr="00120D8B">
        <w:rPr>
          <w:rFonts w:ascii="Arial" w:hAnsi="Arial" w:cs="Arial"/>
          <w:sz w:val="20"/>
        </w:rPr>
        <w:t>In the case of the District, assets ex</w:t>
      </w:r>
      <w:r w:rsidR="00593055" w:rsidRPr="00120D8B">
        <w:rPr>
          <w:rFonts w:ascii="Arial" w:hAnsi="Arial" w:cs="Arial"/>
          <w:sz w:val="20"/>
        </w:rPr>
        <w:t xml:space="preserve">ceeded liabilities </w:t>
      </w:r>
      <w:r w:rsidR="00593055" w:rsidRPr="00B3722D">
        <w:rPr>
          <w:rFonts w:ascii="Arial" w:hAnsi="Arial" w:cs="Arial"/>
          <w:sz w:val="20"/>
        </w:rPr>
        <w:t xml:space="preserve">by </w:t>
      </w:r>
      <w:r w:rsidR="009B0CA9" w:rsidRPr="00B3722D">
        <w:rPr>
          <w:rFonts w:ascii="Arial" w:hAnsi="Arial" w:cs="Arial"/>
          <w:sz w:val="20"/>
        </w:rPr>
        <w:t>$</w:t>
      </w:r>
      <w:r w:rsidR="00A84CE1">
        <w:rPr>
          <w:rFonts w:ascii="Arial" w:hAnsi="Arial" w:cs="Arial"/>
          <w:sz w:val="20"/>
        </w:rPr>
        <w:t>5,730,156</w:t>
      </w:r>
      <w:r w:rsidR="004D27BE">
        <w:rPr>
          <w:rFonts w:ascii="Arial" w:hAnsi="Arial" w:cs="Arial"/>
          <w:sz w:val="20"/>
        </w:rPr>
        <w:t xml:space="preserve"> </w:t>
      </w:r>
      <w:r w:rsidR="009B0CA9">
        <w:rPr>
          <w:rFonts w:ascii="Arial" w:hAnsi="Arial" w:cs="Arial"/>
          <w:sz w:val="20"/>
        </w:rPr>
        <w:t xml:space="preserve">as of August 31, </w:t>
      </w:r>
      <w:r w:rsidR="00480D26">
        <w:rPr>
          <w:rFonts w:ascii="Arial" w:hAnsi="Arial" w:cs="Arial"/>
          <w:sz w:val="20"/>
        </w:rPr>
        <w:fldChar w:fldCharType="begin"/>
      </w:r>
      <w:r w:rsidR="00480D26">
        <w:rPr>
          <w:rFonts w:ascii="Arial" w:hAnsi="Arial" w:cs="Arial"/>
          <w:sz w:val="20"/>
        </w:rPr>
        <w:instrText xml:space="preserve"> DOCVARIABLE Date@Engagement©Date@Amount@Report@[CP]@C@All@All@@@@@\@ "yyyy" \* MERGEFORMAT </w:instrText>
      </w:r>
      <w:r w:rsidR="00480D26">
        <w:rPr>
          <w:rFonts w:ascii="Arial" w:hAnsi="Arial" w:cs="Arial"/>
          <w:sz w:val="20"/>
        </w:rPr>
        <w:fldChar w:fldCharType="separate"/>
      </w:r>
      <w:r w:rsidR="00943950">
        <w:rPr>
          <w:rFonts w:ascii="Arial" w:hAnsi="Arial" w:cs="Arial"/>
          <w:sz w:val="20"/>
        </w:rPr>
        <w:t>2015</w:t>
      </w:r>
      <w:r w:rsidR="00480D26">
        <w:rPr>
          <w:rFonts w:ascii="Arial" w:hAnsi="Arial" w:cs="Arial"/>
          <w:sz w:val="20"/>
        </w:rPr>
        <w:fldChar w:fldCharType="end"/>
      </w:r>
      <w:r w:rsidR="001E1298" w:rsidRPr="00120D8B">
        <w:rPr>
          <w:rFonts w:ascii="Arial" w:hAnsi="Arial" w:cs="Arial"/>
          <w:sz w:val="20"/>
        </w:rPr>
        <w:t>.</w:t>
      </w:r>
    </w:p>
    <w:p w:rsidR="002D15A6" w:rsidRPr="00120D8B" w:rsidRDefault="002D15A6">
      <w:pPr>
        <w:pStyle w:val="BodyText"/>
        <w:jc w:val="both"/>
        <w:rPr>
          <w:rFonts w:ascii="Arial" w:hAnsi="Arial" w:cs="Arial"/>
          <w:sz w:val="20"/>
        </w:rPr>
      </w:pPr>
    </w:p>
    <w:p w:rsidR="001E1298" w:rsidRDefault="00075DE8" w:rsidP="003B3D1D">
      <w:pPr>
        <w:rPr>
          <w:rFonts w:ascii="Arial" w:hAnsi="Arial" w:cs="Arial"/>
          <w:sz w:val="20"/>
        </w:rPr>
      </w:pPr>
      <w:r>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1.2pt;width:399.65pt;height:274.95pt;z-index:251660288;mso-position-horizontal:center;mso-position-horizontal-relative:text;mso-position-vertical-relative:text" o:allowoverlap="f">
            <v:imagedata r:id="rId9" o:title=""/>
            <w10:wrap type="square" side="left"/>
          </v:shape>
          <o:OLEObject Type="Embed" ProgID="Excel.Sheet.12" ShapeID="_x0000_s1029" DrawAspect="Content" ObjectID="_1508929527" r:id="rId10"/>
        </w:pict>
      </w:r>
    </w:p>
    <w:p w:rsidR="003B3D1D" w:rsidRDefault="003B3D1D" w:rsidP="003B3D1D">
      <w:pPr>
        <w:rPr>
          <w:rFonts w:ascii="Arial" w:hAnsi="Arial" w:cs="Arial"/>
          <w:sz w:val="20"/>
        </w:rPr>
      </w:pPr>
    </w:p>
    <w:p w:rsidR="003B3D1D" w:rsidRDefault="003B3D1D" w:rsidP="003B3D1D">
      <w:pPr>
        <w:rPr>
          <w:rFonts w:ascii="Arial" w:hAnsi="Arial" w:cs="Arial"/>
          <w:sz w:val="20"/>
        </w:rPr>
      </w:pPr>
    </w:p>
    <w:p w:rsidR="003B3D1D" w:rsidRDefault="003B3D1D" w:rsidP="003B3D1D">
      <w:pPr>
        <w:rPr>
          <w:rFonts w:ascii="Arial" w:hAnsi="Arial" w:cs="Arial"/>
          <w:sz w:val="20"/>
        </w:rPr>
      </w:pPr>
    </w:p>
    <w:p w:rsidR="003B3D1D" w:rsidRDefault="003B3D1D" w:rsidP="003B3D1D">
      <w:pPr>
        <w:rPr>
          <w:rFonts w:ascii="Arial" w:hAnsi="Arial" w:cs="Arial"/>
          <w:sz w:val="20"/>
        </w:rPr>
      </w:pPr>
    </w:p>
    <w:p w:rsidR="003B3D1D" w:rsidRDefault="003B3D1D" w:rsidP="003B3D1D">
      <w:pPr>
        <w:rPr>
          <w:rFonts w:ascii="Arial" w:hAnsi="Arial" w:cs="Arial"/>
          <w:sz w:val="20"/>
        </w:rPr>
      </w:pPr>
    </w:p>
    <w:p w:rsidR="003B3D1D" w:rsidRDefault="003B3D1D" w:rsidP="003B3D1D">
      <w:pPr>
        <w:rPr>
          <w:rFonts w:ascii="Arial" w:hAnsi="Arial" w:cs="Arial"/>
          <w:sz w:val="20"/>
        </w:rPr>
      </w:pPr>
    </w:p>
    <w:p w:rsidR="003B3D1D" w:rsidRDefault="003B3D1D" w:rsidP="003B3D1D">
      <w:pPr>
        <w:rPr>
          <w:rFonts w:ascii="Arial" w:hAnsi="Arial" w:cs="Arial"/>
          <w:sz w:val="20"/>
        </w:rPr>
      </w:pPr>
    </w:p>
    <w:p w:rsidR="003B3D1D" w:rsidRDefault="003B3D1D" w:rsidP="003B3D1D">
      <w:pPr>
        <w:rPr>
          <w:rFonts w:ascii="Arial" w:hAnsi="Arial" w:cs="Arial"/>
          <w:sz w:val="20"/>
        </w:rPr>
      </w:pPr>
    </w:p>
    <w:p w:rsidR="003B3D1D" w:rsidRDefault="003B3D1D" w:rsidP="003B3D1D">
      <w:pPr>
        <w:rPr>
          <w:rFonts w:ascii="Arial" w:hAnsi="Arial" w:cs="Arial"/>
          <w:sz w:val="20"/>
        </w:rPr>
      </w:pPr>
    </w:p>
    <w:p w:rsidR="003B3D1D" w:rsidRDefault="003B3D1D" w:rsidP="003B3D1D">
      <w:pPr>
        <w:rPr>
          <w:rFonts w:ascii="Arial" w:hAnsi="Arial" w:cs="Arial"/>
          <w:sz w:val="20"/>
        </w:rPr>
      </w:pPr>
    </w:p>
    <w:p w:rsidR="003B3D1D" w:rsidRDefault="003B3D1D" w:rsidP="003B3D1D">
      <w:pPr>
        <w:rPr>
          <w:rFonts w:ascii="Arial" w:hAnsi="Arial" w:cs="Arial"/>
          <w:sz w:val="20"/>
        </w:rPr>
      </w:pPr>
    </w:p>
    <w:p w:rsidR="003B3D1D" w:rsidRDefault="003B3D1D" w:rsidP="003B3D1D">
      <w:pPr>
        <w:rPr>
          <w:rFonts w:ascii="Arial" w:hAnsi="Arial" w:cs="Arial"/>
          <w:sz w:val="20"/>
        </w:rPr>
      </w:pPr>
    </w:p>
    <w:p w:rsidR="003B3D1D" w:rsidRDefault="003B3D1D" w:rsidP="003B3D1D">
      <w:pPr>
        <w:rPr>
          <w:rFonts w:ascii="Arial" w:hAnsi="Arial" w:cs="Arial"/>
          <w:sz w:val="20"/>
        </w:rPr>
      </w:pPr>
    </w:p>
    <w:p w:rsidR="003B3D1D" w:rsidRDefault="003B3D1D" w:rsidP="003B3D1D">
      <w:pPr>
        <w:rPr>
          <w:rFonts w:ascii="Arial" w:hAnsi="Arial" w:cs="Arial"/>
          <w:sz w:val="20"/>
        </w:rPr>
      </w:pPr>
    </w:p>
    <w:p w:rsidR="003B3D1D" w:rsidRDefault="003B3D1D" w:rsidP="003B3D1D">
      <w:pPr>
        <w:rPr>
          <w:rFonts w:ascii="Arial" w:hAnsi="Arial" w:cs="Arial"/>
          <w:sz w:val="20"/>
        </w:rPr>
      </w:pPr>
    </w:p>
    <w:p w:rsidR="003B3D1D" w:rsidRDefault="003B3D1D" w:rsidP="003B3D1D">
      <w:pPr>
        <w:rPr>
          <w:rFonts w:ascii="Arial" w:hAnsi="Arial" w:cs="Arial"/>
          <w:sz w:val="20"/>
        </w:rPr>
      </w:pPr>
    </w:p>
    <w:p w:rsidR="003B3D1D" w:rsidRPr="00120D8B" w:rsidRDefault="003B3D1D" w:rsidP="003B3D1D">
      <w:pPr>
        <w:rPr>
          <w:rFonts w:ascii="Arial" w:hAnsi="Arial" w:cs="Arial"/>
          <w:sz w:val="20"/>
        </w:rPr>
      </w:pPr>
    </w:p>
    <w:p w:rsidR="00D31B72" w:rsidRDefault="003B3D1D" w:rsidP="00D31B72">
      <w:pPr>
        <w:rPr>
          <w:rFonts w:ascii="Arial" w:hAnsi="Arial" w:cs="Arial"/>
          <w:sz w:val="20"/>
        </w:rPr>
      </w:pPr>
      <w:r>
        <w:rPr>
          <w:rFonts w:ascii="Arial" w:hAnsi="Arial" w:cs="Arial"/>
          <w:noProof/>
          <w:color w:val="FF0000"/>
          <w:sz w:val="20"/>
        </w:rPr>
        <w:drawing>
          <wp:anchor distT="0" distB="0" distL="114300" distR="114300" simplePos="0" relativeHeight="251658240" behindDoc="1" locked="0" layoutInCell="1" allowOverlap="1" wp14:anchorId="53A2A322" wp14:editId="21592D3D">
            <wp:simplePos x="0" y="0"/>
            <wp:positionH relativeFrom="margin">
              <wp:posOffset>781050</wp:posOffset>
            </wp:positionH>
            <wp:positionV relativeFrom="paragraph">
              <wp:posOffset>127635</wp:posOffset>
            </wp:positionV>
            <wp:extent cx="4563745" cy="2286000"/>
            <wp:effectExtent l="0" t="0" r="0" b="0"/>
            <wp:wrapSquare wrapText="bothSides"/>
            <wp:docPr id="8"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D31B72" w:rsidRDefault="00FB4B81" w:rsidP="00FB4B81">
      <w:pPr>
        <w:tabs>
          <w:tab w:val="left" w:pos="4953"/>
          <w:tab w:val="left" w:pos="5350"/>
          <w:tab w:val="left" w:pos="6046"/>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D31B72" w:rsidRDefault="00D31B72">
      <w:pPr>
        <w:jc w:val="both"/>
        <w:rPr>
          <w:rFonts w:ascii="Arial" w:hAnsi="Arial" w:cs="Arial"/>
          <w:sz w:val="20"/>
        </w:rPr>
      </w:pPr>
    </w:p>
    <w:p w:rsidR="002D15A6" w:rsidRDefault="002D15A6">
      <w:pPr>
        <w:jc w:val="both"/>
        <w:rPr>
          <w:rFonts w:ascii="Arial" w:hAnsi="Arial" w:cs="Arial"/>
          <w:sz w:val="20"/>
        </w:rPr>
      </w:pPr>
    </w:p>
    <w:p w:rsidR="00D31B72" w:rsidRDefault="00D31B72">
      <w:pPr>
        <w:jc w:val="both"/>
        <w:rPr>
          <w:rFonts w:ascii="Arial" w:hAnsi="Arial" w:cs="Arial"/>
          <w:sz w:val="20"/>
        </w:rPr>
      </w:pPr>
    </w:p>
    <w:p w:rsidR="00A84CE1" w:rsidRDefault="00A84CE1">
      <w:pPr>
        <w:jc w:val="both"/>
        <w:rPr>
          <w:rFonts w:ascii="Arial" w:hAnsi="Arial" w:cs="Arial"/>
          <w:sz w:val="20"/>
        </w:rPr>
      </w:pPr>
    </w:p>
    <w:p w:rsidR="00A84CE1" w:rsidRDefault="00A84CE1">
      <w:pPr>
        <w:jc w:val="both"/>
        <w:rPr>
          <w:rFonts w:ascii="Arial" w:hAnsi="Arial" w:cs="Arial"/>
          <w:sz w:val="20"/>
        </w:rPr>
      </w:pPr>
    </w:p>
    <w:p w:rsidR="00A84CE1" w:rsidRDefault="00A84CE1">
      <w:pPr>
        <w:jc w:val="both"/>
        <w:rPr>
          <w:rFonts w:ascii="Arial" w:hAnsi="Arial" w:cs="Arial"/>
          <w:sz w:val="20"/>
        </w:rPr>
      </w:pPr>
    </w:p>
    <w:p w:rsidR="00A84CE1" w:rsidRDefault="00A84CE1">
      <w:pPr>
        <w:jc w:val="both"/>
        <w:rPr>
          <w:rFonts w:ascii="Arial" w:hAnsi="Arial" w:cs="Arial"/>
          <w:sz w:val="20"/>
        </w:rPr>
      </w:pPr>
    </w:p>
    <w:p w:rsidR="00A84CE1" w:rsidRDefault="00A84CE1">
      <w:pPr>
        <w:jc w:val="both"/>
        <w:rPr>
          <w:rFonts w:ascii="Arial" w:hAnsi="Arial" w:cs="Arial"/>
          <w:sz w:val="20"/>
        </w:rPr>
      </w:pPr>
    </w:p>
    <w:p w:rsidR="001E1298" w:rsidRPr="00120D8B" w:rsidRDefault="002D15A6">
      <w:pPr>
        <w:jc w:val="both"/>
        <w:rPr>
          <w:rFonts w:ascii="Arial" w:hAnsi="Arial" w:cs="Arial"/>
          <w:sz w:val="20"/>
        </w:rPr>
      </w:pPr>
      <w:r w:rsidRPr="002D15A6">
        <w:rPr>
          <w:rFonts w:ascii="Arial" w:hAnsi="Arial" w:cs="Arial"/>
          <w:sz w:val="20"/>
        </w:rPr>
        <w:t>The net i</w:t>
      </w:r>
      <w:r w:rsidR="001E1298" w:rsidRPr="002D15A6">
        <w:rPr>
          <w:rFonts w:ascii="Arial" w:hAnsi="Arial" w:cs="Arial"/>
          <w:sz w:val="20"/>
        </w:rPr>
        <w:t xml:space="preserve">nvestment in capital assets (e.g., land, buildings, furniture and equipment, and construction in progress) </w:t>
      </w:r>
      <w:r w:rsidR="009B0CA9" w:rsidRPr="002D15A6">
        <w:rPr>
          <w:rFonts w:ascii="Arial" w:hAnsi="Arial" w:cs="Arial"/>
          <w:sz w:val="20"/>
        </w:rPr>
        <w:t>is $</w:t>
      </w:r>
      <w:r w:rsidR="00EF0B1E">
        <w:rPr>
          <w:rFonts w:ascii="Arial" w:hAnsi="Arial" w:cs="Arial"/>
          <w:sz w:val="20"/>
        </w:rPr>
        <w:t>4,088,645</w:t>
      </w:r>
      <w:r w:rsidR="001E1298" w:rsidRPr="002D15A6">
        <w:rPr>
          <w:rFonts w:ascii="Arial" w:hAnsi="Arial" w:cs="Arial"/>
          <w:sz w:val="20"/>
        </w:rPr>
        <w:t>.</w:t>
      </w:r>
      <w:r w:rsidR="00550D17" w:rsidRPr="002D15A6">
        <w:rPr>
          <w:rFonts w:ascii="Arial" w:hAnsi="Arial" w:cs="Arial"/>
          <w:sz w:val="20"/>
        </w:rPr>
        <w:t xml:space="preserve"> </w:t>
      </w:r>
      <w:r w:rsidR="001E1298" w:rsidRPr="002D15A6">
        <w:rPr>
          <w:rFonts w:ascii="Arial" w:hAnsi="Arial" w:cs="Arial"/>
          <w:sz w:val="20"/>
        </w:rPr>
        <w:t xml:space="preserve">The District uses these capital assets to provide services to students; consequently, these assets are </w:t>
      </w:r>
      <w:r w:rsidR="001E1298" w:rsidRPr="002D15A6">
        <w:rPr>
          <w:rFonts w:ascii="Arial" w:hAnsi="Arial" w:cs="Arial"/>
          <w:i/>
          <w:sz w:val="20"/>
        </w:rPr>
        <w:t>not</w:t>
      </w:r>
      <w:r w:rsidR="001E1298" w:rsidRPr="002D15A6">
        <w:rPr>
          <w:rFonts w:ascii="Arial" w:hAnsi="Arial" w:cs="Arial"/>
          <w:sz w:val="20"/>
        </w:rPr>
        <w:t xml:space="preserve"> available for future spending.</w:t>
      </w:r>
      <w:r w:rsidR="00550D17" w:rsidRPr="002D15A6">
        <w:rPr>
          <w:rFonts w:ascii="Arial" w:hAnsi="Arial" w:cs="Arial"/>
          <w:sz w:val="20"/>
        </w:rPr>
        <w:t xml:space="preserve"> </w:t>
      </w:r>
      <w:r w:rsidR="001E1298" w:rsidRPr="002D15A6">
        <w:rPr>
          <w:rFonts w:ascii="Arial" w:hAnsi="Arial" w:cs="Arial"/>
          <w:sz w:val="20"/>
        </w:rPr>
        <w:t>Although the District’s investment in its capital assets is reported net of related debt, it should be noted that the resources needed to repay this debt must be provided from other sources, since the capital assets themselves cannot be used to liquidate these lia</w:t>
      </w:r>
      <w:r w:rsidR="001D7D93" w:rsidRPr="002D15A6">
        <w:rPr>
          <w:rFonts w:ascii="Arial" w:hAnsi="Arial" w:cs="Arial"/>
          <w:sz w:val="20"/>
        </w:rPr>
        <w:t>bilities.</w:t>
      </w:r>
      <w:r w:rsidR="009B0CA9" w:rsidRPr="002D15A6">
        <w:rPr>
          <w:rFonts w:ascii="Arial" w:hAnsi="Arial" w:cs="Arial"/>
          <w:sz w:val="20"/>
        </w:rPr>
        <w:t xml:space="preserve"> An additional $</w:t>
      </w:r>
      <w:r w:rsidR="00EF0B1E">
        <w:rPr>
          <w:rFonts w:ascii="Arial" w:hAnsi="Arial" w:cs="Arial"/>
          <w:sz w:val="20"/>
        </w:rPr>
        <w:t>225,337 o</w:t>
      </w:r>
      <w:r w:rsidR="00B138EC" w:rsidRPr="002D15A6">
        <w:rPr>
          <w:rFonts w:ascii="Arial" w:hAnsi="Arial" w:cs="Arial"/>
          <w:sz w:val="20"/>
        </w:rPr>
        <w:t>f the District’s net position</w:t>
      </w:r>
      <w:r w:rsidR="001E1298" w:rsidRPr="002D15A6">
        <w:rPr>
          <w:rFonts w:ascii="Arial" w:hAnsi="Arial" w:cs="Arial"/>
          <w:sz w:val="20"/>
        </w:rPr>
        <w:t xml:space="preserve"> represents resources that are subject to external restrictions on how they ma</w:t>
      </w:r>
      <w:r w:rsidR="001D7D93" w:rsidRPr="002D15A6">
        <w:rPr>
          <w:rFonts w:ascii="Arial" w:hAnsi="Arial" w:cs="Arial"/>
          <w:sz w:val="20"/>
        </w:rPr>
        <w:t>y be used.</w:t>
      </w:r>
      <w:r w:rsidR="001E1298" w:rsidRPr="002D15A6">
        <w:rPr>
          <w:rFonts w:ascii="Arial" w:hAnsi="Arial" w:cs="Arial"/>
          <w:sz w:val="20"/>
        </w:rPr>
        <w:t xml:space="preserve"> The remaining balance of </w:t>
      </w:r>
      <w:r w:rsidR="00B138EC" w:rsidRPr="002D15A6">
        <w:rPr>
          <w:rFonts w:ascii="Arial" w:hAnsi="Arial" w:cs="Arial"/>
          <w:i/>
          <w:sz w:val="20"/>
        </w:rPr>
        <w:t>unrestricted net position</w:t>
      </w:r>
      <w:r w:rsidR="001E1298" w:rsidRPr="002D15A6">
        <w:rPr>
          <w:rFonts w:ascii="Arial" w:hAnsi="Arial" w:cs="Arial"/>
          <w:i/>
          <w:sz w:val="20"/>
        </w:rPr>
        <w:t xml:space="preserve"> </w:t>
      </w:r>
      <w:r w:rsidR="009B0CA9" w:rsidRPr="002D15A6">
        <w:rPr>
          <w:rFonts w:ascii="Arial" w:hAnsi="Arial" w:cs="Arial"/>
          <w:sz w:val="20"/>
        </w:rPr>
        <w:t>$</w:t>
      </w:r>
      <w:r w:rsidR="00EF0B1E">
        <w:rPr>
          <w:rFonts w:ascii="Arial" w:hAnsi="Arial" w:cs="Arial"/>
          <w:sz w:val="20"/>
        </w:rPr>
        <w:t>1,416,174</w:t>
      </w:r>
      <w:r w:rsidR="001E1298" w:rsidRPr="002D15A6">
        <w:rPr>
          <w:rFonts w:ascii="Arial" w:hAnsi="Arial" w:cs="Arial"/>
          <w:sz w:val="20"/>
        </w:rPr>
        <w:t xml:space="preserve"> may be used to meet the District’s ongoing obligations. This surplus is not an indication that the District has significant resources available to meet financial obligations next year, but rather the result of having </w:t>
      </w:r>
      <w:r w:rsidR="001E1298" w:rsidRPr="002D15A6">
        <w:rPr>
          <w:rFonts w:ascii="Arial" w:hAnsi="Arial" w:cs="Arial"/>
          <w:i/>
          <w:sz w:val="20"/>
        </w:rPr>
        <w:t>long-term</w:t>
      </w:r>
      <w:r w:rsidR="001E1298" w:rsidRPr="002D15A6">
        <w:rPr>
          <w:rFonts w:ascii="Arial" w:hAnsi="Arial" w:cs="Arial"/>
          <w:sz w:val="20"/>
        </w:rPr>
        <w:t xml:space="preserve"> commitments that are less than currently available resources.</w:t>
      </w:r>
    </w:p>
    <w:p w:rsidR="001E1298" w:rsidRDefault="001E1298">
      <w:pPr>
        <w:jc w:val="both"/>
        <w:rPr>
          <w:rFonts w:ascii="Arial" w:hAnsi="Arial" w:cs="Arial"/>
          <w:b/>
          <w:sz w:val="20"/>
        </w:rPr>
      </w:pPr>
    </w:p>
    <w:p w:rsidR="00D31B72" w:rsidRDefault="00D31B72">
      <w:pPr>
        <w:jc w:val="both"/>
        <w:rPr>
          <w:rFonts w:ascii="Arial" w:hAnsi="Arial" w:cs="Arial"/>
          <w:b/>
          <w:sz w:val="20"/>
        </w:rPr>
      </w:pPr>
    </w:p>
    <w:p w:rsidR="00D31B72" w:rsidRDefault="00D31B72">
      <w:pPr>
        <w:jc w:val="both"/>
        <w:rPr>
          <w:rFonts w:ascii="Arial" w:hAnsi="Arial" w:cs="Arial"/>
          <w:b/>
          <w:sz w:val="20"/>
        </w:rPr>
      </w:pPr>
    </w:p>
    <w:p w:rsidR="001E1298" w:rsidRDefault="001E1298">
      <w:pPr>
        <w:jc w:val="both"/>
        <w:rPr>
          <w:rFonts w:ascii="Arial" w:hAnsi="Arial" w:cs="Arial"/>
          <w:sz w:val="20"/>
        </w:rPr>
      </w:pPr>
      <w:proofErr w:type="gramStart"/>
      <w:r w:rsidRPr="002D15A6">
        <w:rPr>
          <w:rFonts w:ascii="Arial" w:hAnsi="Arial" w:cs="Arial"/>
          <w:b/>
          <w:sz w:val="20"/>
        </w:rPr>
        <w:lastRenderedPageBreak/>
        <w:t>Governmental activities.</w:t>
      </w:r>
      <w:proofErr w:type="gramEnd"/>
      <w:r w:rsidR="00550D17" w:rsidRPr="002D15A6">
        <w:rPr>
          <w:rFonts w:ascii="Arial" w:hAnsi="Arial" w:cs="Arial"/>
          <w:sz w:val="20"/>
        </w:rPr>
        <w:t xml:space="preserve"> </w:t>
      </w:r>
      <w:proofErr w:type="gramStart"/>
      <w:r w:rsidRPr="002D15A6">
        <w:rPr>
          <w:rFonts w:ascii="Arial" w:hAnsi="Arial" w:cs="Arial"/>
          <w:sz w:val="20"/>
        </w:rPr>
        <w:t xml:space="preserve">The District’s total </w:t>
      </w:r>
      <w:r w:rsidR="00B138EC" w:rsidRPr="002D15A6">
        <w:rPr>
          <w:rFonts w:ascii="Arial" w:hAnsi="Arial" w:cs="Arial"/>
          <w:sz w:val="20"/>
        </w:rPr>
        <w:t>net position</w:t>
      </w:r>
      <w:r w:rsidR="009B0CA9" w:rsidRPr="002D15A6">
        <w:rPr>
          <w:rFonts w:ascii="Arial" w:hAnsi="Arial" w:cs="Arial"/>
          <w:sz w:val="20"/>
        </w:rPr>
        <w:t xml:space="preserve"> increased by $</w:t>
      </w:r>
      <w:r w:rsidR="00603858">
        <w:rPr>
          <w:rFonts w:ascii="Arial" w:hAnsi="Arial" w:cs="Arial"/>
          <w:sz w:val="20"/>
        </w:rPr>
        <w:t>393,962</w:t>
      </w:r>
      <w:r w:rsidR="001D7D93" w:rsidRPr="002D15A6">
        <w:rPr>
          <w:rFonts w:ascii="Arial" w:hAnsi="Arial" w:cs="Arial"/>
          <w:sz w:val="20"/>
        </w:rPr>
        <w:t>.</w:t>
      </w:r>
      <w:proofErr w:type="gramEnd"/>
      <w:r w:rsidRPr="002D15A6">
        <w:rPr>
          <w:rFonts w:ascii="Arial" w:hAnsi="Arial" w:cs="Arial"/>
          <w:sz w:val="20"/>
        </w:rPr>
        <w:t xml:space="preserve"> The total cost of all </w:t>
      </w:r>
      <w:r w:rsidRPr="002D15A6">
        <w:rPr>
          <w:rFonts w:ascii="Arial" w:hAnsi="Arial" w:cs="Arial"/>
          <w:i/>
          <w:sz w:val="20"/>
        </w:rPr>
        <w:t>governmental activities</w:t>
      </w:r>
      <w:r w:rsidRPr="002D15A6">
        <w:rPr>
          <w:rFonts w:ascii="Arial" w:hAnsi="Arial" w:cs="Arial"/>
          <w:sz w:val="20"/>
        </w:rPr>
        <w:t xml:space="preserve"> this year w</w:t>
      </w:r>
      <w:r w:rsidR="009B0CA9" w:rsidRPr="002D15A6">
        <w:rPr>
          <w:rFonts w:ascii="Arial" w:hAnsi="Arial" w:cs="Arial"/>
          <w:sz w:val="20"/>
        </w:rPr>
        <w:t>as $</w:t>
      </w:r>
      <w:r w:rsidR="00603858">
        <w:rPr>
          <w:rFonts w:ascii="Arial" w:hAnsi="Arial" w:cs="Arial"/>
          <w:sz w:val="20"/>
        </w:rPr>
        <w:t>5,476,301</w:t>
      </w:r>
      <w:r w:rsidRPr="002D15A6">
        <w:rPr>
          <w:rFonts w:ascii="Arial" w:hAnsi="Arial" w:cs="Arial"/>
          <w:sz w:val="20"/>
        </w:rPr>
        <w:t>. The amount that our taxpayers paid for these activities throu</w:t>
      </w:r>
      <w:r w:rsidR="009B0CA9" w:rsidRPr="002D15A6">
        <w:rPr>
          <w:rFonts w:ascii="Arial" w:hAnsi="Arial" w:cs="Arial"/>
          <w:sz w:val="20"/>
        </w:rPr>
        <w:t>gh property taxes was $</w:t>
      </w:r>
      <w:r w:rsidR="00603858">
        <w:rPr>
          <w:rFonts w:ascii="Arial" w:hAnsi="Arial" w:cs="Arial"/>
          <w:sz w:val="20"/>
        </w:rPr>
        <w:t>3,598,048</w:t>
      </w:r>
      <w:r w:rsidR="001F6EDE" w:rsidRPr="002D15A6">
        <w:rPr>
          <w:rFonts w:ascii="Arial" w:hAnsi="Arial" w:cs="Arial"/>
          <w:sz w:val="20"/>
        </w:rPr>
        <w:t xml:space="preserve"> or</w:t>
      </w:r>
      <w:r w:rsidR="003E2E8E" w:rsidRPr="002D15A6">
        <w:rPr>
          <w:rFonts w:ascii="Arial" w:hAnsi="Arial" w:cs="Arial"/>
          <w:sz w:val="20"/>
        </w:rPr>
        <w:t xml:space="preserve"> </w:t>
      </w:r>
      <w:r w:rsidR="00603858">
        <w:rPr>
          <w:rFonts w:ascii="Arial" w:hAnsi="Arial" w:cs="Arial"/>
          <w:sz w:val="20"/>
        </w:rPr>
        <w:t>66</w:t>
      </w:r>
      <w:r w:rsidR="000637EC" w:rsidRPr="002D15A6">
        <w:rPr>
          <w:rFonts w:ascii="Arial" w:hAnsi="Arial" w:cs="Arial"/>
          <w:sz w:val="20"/>
        </w:rPr>
        <w:t>%</w:t>
      </w:r>
      <w:r w:rsidRPr="002D15A6">
        <w:rPr>
          <w:rFonts w:ascii="Arial" w:hAnsi="Arial" w:cs="Arial"/>
          <w:sz w:val="20"/>
        </w:rPr>
        <w:t>.</w:t>
      </w:r>
    </w:p>
    <w:p w:rsidR="00AF20BD" w:rsidRPr="00120D8B" w:rsidRDefault="00AF20BD">
      <w:pPr>
        <w:jc w:val="both"/>
        <w:rPr>
          <w:rFonts w:ascii="Arial" w:hAnsi="Arial" w:cs="Arial"/>
          <w:sz w:val="20"/>
        </w:rPr>
      </w:pPr>
    </w:p>
    <w:bookmarkStart w:id="0" w:name="_MON_1227499427"/>
    <w:bookmarkStart w:id="1" w:name="_MON_1248175188"/>
    <w:bookmarkStart w:id="2" w:name="_MON_1257061262"/>
    <w:bookmarkStart w:id="3" w:name="_MON_1286966848"/>
    <w:bookmarkStart w:id="4" w:name="_MON_1286966873"/>
    <w:bookmarkStart w:id="5" w:name="_MON_1316592732"/>
    <w:bookmarkStart w:id="6" w:name="_MON_1316592760"/>
    <w:bookmarkStart w:id="7" w:name="_MON_1316592799"/>
    <w:bookmarkStart w:id="8" w:name="_MON_1316592880"/>
    <w:bookmarkStart w:id="9" w:name="_MON_1316851694"/>
    <w:bookmarkStart w:id="10" w:name="_MON_1334992790"/>
    <w:bookmarkStart w:id="11" w:name="_MON_1348573914"/>
    <w:bookmarkStart w:id="12" w:name="_MON_1349245200"/>
    <w:bookmarkStart w:id="13" w:name="_MON_1349245224"/>
    <w:bookmarkStart w:id="14" w:name="_MON_1366178387"/>
    <w:bookmarkStart w:id="15" w:name="_MON_1366178402"/>
    <w:bookmarkStart w:id="16" w:name="_MON_1381062959"/>
    <w:bookmarkStart w:id="17" w:name="_MON_1463294464"/>
    <w:bookmarkStart w:id="18" w:name="_MON_1158388840"/>
    <w:bookmarkStart w:id="19" w:name="_MON_1158390000"/>
    <w:bookmarkStart w:id="20" w:name="_MON_1160881568"/>
    <w:bookmarkStart w:id="21" w:name="_MON_1160881742"/>
    <w:bookmarkStart w:id="22" w:name="_MON_1160881965"/>
    <w:bookmarkStart w:id="23" w:name="_MON_1160882091"/>
    <w:bookmarkStart w:id="24" w:name="_MON_1160882176"/>
    <w:bookmarkStart w:id="25" w:name="_MON_1160884778"/>
    <w:bookmarkStart w:id="26" w:name="_MON_1161320126"/>
    <w:bookmarkStart w:id="27" w:name="_MON_1163506881"/>
    <w:bookmarkStart w:id="28" w:name="_MON_1163507447"/>
    <w:bookmarkStart w:id="29" w:name="_MON_1177403799"/>
    <w:bookmarkStart w:id="30" w:name="_MON_1197966976"/>
    <w:bookmarkStart w:id="31" w:name="_MON_122638617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Start w:id="32" w:name="_MON_1227499233"/>
    <w:bookmarkEnd w:id="32"/>
    <w:p w:rsidR="001E1298" w:rsidRPr="00120D8B" w:rsidRDefault="001F794F" w:rsidP="00AF20BD">
      <w:pPr>
        <w:jc w:val="center"/>
        <w:rPr>
          <w:rFonts w:ascii="Arial" w:hAnsi="Arial" w:cs="Arial"/>
          <w:sz w:val="20"/>
        </w:rPr>
      </w:pPr>
      <w:r>
        <w:rPr>
          <w:rFonts w:ascii="Arial" w:hAnsi="Arial" w:cs="Arial"/>
          <w:b/>
          <w:sz w:val="20"/>
        </w:rPr>
        <w:object w:dxaOrig="9363" w:dyaOrig="9865">
          <v:shape id="_x0000_i1025" type="#_x0000_t75" style="width:445.85pt;height:468.9pt" o:ole="">
            <v:imagedata r:id="rId12" o:title=""/>
          </v:shape>
          <o:OLEObject Type="Embed" ProgID="Excel.Sheet.12" ShapeID="_x0000_i1025" DrawAspect="Content" ObjectID="_1508929525" r:id="rId13"/>
        </w:object>
      </w:r>
    </w:p>
    <w:p w:rsidR="001E1298" w:rsidRPr="00120D8B" w:rsidRDefault="001E1298">
      <w:pPr>
        <w:jc w:val="both"/>
        <w:rPr>
          <w:rFonts w:ascii="Arial" w:hAnsi="Arial" w:cs="Arial"/>
          <w:b/>
          <w:sz w:val="20"/>
        </w:rPr>
      </w:pPr>
    </w:p>
    <w:p w:rsidR="00243B50" w:rsidRDefault="00CF273C" w:rsidP="00D66FA5">
      <w:pPr>
        <w:pStyle w:val="Heading1"/>
        <w:jc w:val="center"/>
        <w:rPr>
          <w:rFonts w:ascii="Arial" w:hAnsi="Arial" w:cs="Arial"/>
          <w:sz w:val="20"/>
        </w:rPr>
      </w:pPr>
      <w:r>
        <w:rPr>
          <w:rFonts w:ascii="Arial" w:hAnsi="Arial" w:cs="Arial"/>
          <w:noProof/>
          <w:sz w:val="20"/>
        </w:rPr>
        <w:lastRenderedPageBreak/>
        <w:drawing>
          <wp:inline distT="0" distB="0" distL="0" distR="0" wp14:anchorId="7529477C" wp14:editId="4BA86771">
            <wp:extent cx="6242538" cy="2620108"/>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1649D" w:rsidRDefault="0001649D">
      <w:pPr>
        <w:pStyle w:val="Heading1"/>
        <w:jc w:val="both"/>
        <w:rPr>
          <w:rFonts w:ascii="Arial" w:hAnsi="Arial" w:cs="Arial"/>
          <w:sz w:val="20"/>
        </w:rPr>
      </w:pPr>
    </w:p>
    <w:p w:rsidR="001E1298" w:rsidRPr="00120D8B" w:rsidRDefault="001E1298">
      <w:pPr>
        <w:pStyle w:val="Heading1"/>
        <w:jc w:val="both"/>
        <w:rPr>
          <w:rFonts w:ascii="Arial" w:hAnsi="Arial" w:cs="Arial"/>
          <w:sz w:val="20"/>
        </w:rPr>
      </w:pPr>
      <w:r w:rsidRPr="00120D8B">
        <w:rPr>
          <w:rFonts w:ascii="Arial" w:hAnsi="Arial" w:cs="Arial"/>
          <w:sz w:val="20"/>
        </w:rPr>
        <w:t>Financial Analysis of the District’s Funds</w:t>
      </w:r>
    </w:p>
    <w:p w:rsidR="001E1298" w:rsidRPr="00120D8B" w:rsidRDefault="001E1298">
      <w:pPr>
        <w:jc w:val="both"/>
        <w:rPr>
          <w:rFonts w:ascii="Arial" w:hAnsi="Arial" w:cs="Arial"/>
          <w:sz w:val="20"/>
        </w:rPr>
      </w:pPr>
      <w:r w:rsidRPr="00120D8B">
        <w:rPr>
          <w:rFonts w:ascii="Arial" w:hAnsi="Arial" w:cs="Arial"/>
          <w:sz w:val="20"/>
        </w:rPr>
        <w:t>As noted earlier, the District uses fund accounting to ensure and demonstrate compliance with finance-related legal requirements, bond covenants, and segregation for particular purposes.</w:t>
      </w:r>
    </w:p>
    <w:p w:rsidR="001E1298" w:rsidRPr="00120D8B" w:rsidRDefault="001E1298">
      <w:pPr>
        <w:jc w:val="both"/>
        <w:rPr>
          <w:rFonts w:ascii="Arial" w:hAnsi="Arial" w:cs="Arial"/>
          <w:sz w:val="20"/>
        </w:rPr>
      </w:pPr>
    </w:p>
    <w:p w:rsidR="001E1298" w:rsidRPr="00DE2EA2" w:rsidRDefault="001E1298">
      <w:pPr>
        <w:jc w:val="both"/>
        <w:rPr>
          <w:rFonts w:ascii="Arial" w:hAnsi="Arial" w:cs="Arial"/>
          <w:sz w:val="20"/>
        </w:rPr>
      </w:pPr>
      <w:proofErr w:type="gramStart"/>
      <w:r w:rsidRPr="00DE2EA2">
        <w:rPr>
          <w:rFonts w:ascii="Arial" w:hAnsi="Arial" w:cs="Arial"/>
          <w:b/>
          <w:i/>
          <w:sz w:val="20"/>
        </w:rPr>
        <w:t>Governmental funds.</w:t>
      </w:r>
      <w:proofErr w:type="gramEnd"/>
      <w:r w:rsidR="00550D17" w:rsidRPr="00DE2EA2">
        <w:rPr>
          <w:rFonts w:ascii="Arial" w:hAnsi="Arial" w:cs="Arial"/>
          <w:sz w:val="20"/>
        </w:rPr>
        <w:t xml:space="preserve"> </w:t>
      </w:r>
      <w:r w:rsidRPr="00DE2EA2">
        <w:rPr>
          <w:rFonts w:ascii="Arial" w:hAnsi="Arial" w:cs="Arial"/>
          <w:sz w:val="20"/>
        </w:rPr>
        <w:t xml:space="preserve">The focus of the District’s </w:t>
      </w:r>
      <w:r w:rsidRPr="00DE2EA2">
        <w:rPr>
          <w:rFonts w:ascii="Arial" w:hAnsi="Arial" w:cs="Arial"/>
          <w:i/>
          <w:sz w:val="20"/>
        </w:rPr>
        <w:t>governmental funds</w:t>
      </w:r>
      <w:r w:rsidRPr="00DE2EA2">
        <w:rPr>
          <w:rFonts w:ascii="Arial" w:hAnsi="Arial" w:cs="Arial"/>
          <w:sz w:val="20"/>
        </w:rPr>
        <w:t xml:space="preserve"> is to provide information on near-term inflows, outflows, and balances of </w:t>
      </w:r>
      <w:r w:rsidRPr="00DE2EA2">
        <w:rPr>
          <w:rFonts w:ascii="Arial" w:hAnsi="Arial" w:cs="Arial"/>
          <w:i/>
          <w:sz w:val="20"/>
        </w:rPr>
        <w:t>spendable</w:t>
      </w:r>
      <w:r w:rsidRPr="00DE2EA2">
        <w:rPr>
          <w:rFonts w:ascii="Arial" w:hAnsi="Arial" w:cs="Arial"/>
          <w:sz w:val="20"/>
        </w:rPr>
        <w:t xml:space="preserve"> resources.</w:t>
      </w:r>
      <w:r w:rsidR="00550D17" w:rsidRPr="00DE2EA2">
        <w:rPr>
          <w:rFonts w:ascii="Arial" w:hAnsi="Arial" w:cs="Arial"/>
          <w:sz w:val="20"/>
        </w:rPr>
        <w:t xml:space="preserve"> </w:t>
      </w:r>
      <w:r w:rsidRPr="00DE2EA2">
        <w:rPr>
          <w:rFonts w:ascii="Arial" w:hAnsi="Arial" w:cs="Arial"/>
          <w:sz w:val="20"/>
        </w:rPr>
        <w:t>Such information is useful in assessing the District’s financing requirements.</w:t>
      </w:r>
      <w:r w:rsidR="00550D17" w:rsidRPr="00DE2EA2">
        <w:rPr>
          <w:rFonts w:ascii="Arial" w:hAnsi="Arial" w:cs="Arial"/>
          <w:sz w:val="20"/>
        </w:rPr>
        <w:t xml:space="preserve"> </w:t>
      </w:r>
      <w:r w:rsidRPr="00DE2EA2">
        <w:rPr>
          <w:rFonts w:ascii="Arial" w:hAnsi="Arial" w:cs="Arial"/>
          <w:sz w:val="20"/>
        </w:rPr>
        <w:t xml:space="preserve">In particular, </w:t>
      </w:r>
      <w:r w:rsidRPr="00DE2EA2">
        <w:rPr>
          <w:rFonts w:ascii="Arial" w:hAnsi="Arial" w:cs="Arial"/>
          <w:i/>
          <w:sz w:val="20"/>
        </w:rPr>
        <w:t>un</w:t>
      </w:r>
      <w:r w:rsidR="009E6AA7" w:rsidRPr="00DE2EA2">
        <w:rPr>
          <w:rFonts w:ascii="Arial" w:hAnsi="Arial" w:cs="Arial"/>
          <w:i/>
          <w:sz w:val="20"/>
        </w:rPr>
        <w:t>assigned</w:t>
      </w:r>
      <w:r w:rsidRPr="00DE2EA2">
        <w:rPr>
          <w:rFonts w:ascii="Arial" w:hAnsi="Arial" w:cs="Arial"/>
          <w:i/>
          <w:sz w:val="20"/>
        </w:rPr>
        <w:t xml:space="preserve"> fund balance</w:t>
      </w:r>
      <w:r w:rsidRPr="00DE2EA2">
        <w:rPr>
          <w:rFonts w:ascii="Arial" w:hAnsi="Arial" w:cs="Arial"/>
          <w:sz w:val="20"/>
        </w:rPr>
        <w:t xml:space="preserve"> may serve as a useful measure of the District’s net resources available for spending at the end of a fiscal year.</w:t>
      </w:r>
    </w:p>
    <w:p w:rsidR="001E1298" w:rsidRPr="00DE2EA2" w:rsidRDefault="001E1298">
      <w:pPr>
        <w:jc w:val="both"/>
        <w:rPr>
          <w:rFonts w:ascii="Arial" w:hAnsi="Arial" w:cs="Arial"/>
          <w:sz w:val="20"/>
        </w:rPr>
      </w:pPr>
    </w:p>
    <w:p w:rsidR="001E1298" w:rsidRPr="00DE2EA2" w:rsidRDefault="001E1298">
      <w:pPr>
        <w:jc w:val="both"/>
        <w:rPr>
          <w:rFonts w:ascii="Arial" w:hAnsi="Arial" w:cs="Arial"/>
          <w:sz w:val="20"/>
        </w:rPr>
      </w:pPr>
      <w:r w:rsidRPr="00DE2EA2">
        <w:rPr>
          <w:rFonts w:ascii="Arial" w:hAnsi="Arial" w:cs="Arial"/>
          <w:sz w:val="20"/>
        </w:rPr>
        <w:t>As of the end of the current fiscal year, the District’s governmental funds reported combined en</w:t>
      </w:r>
      <w:r w:rsidR="009B0CA9" w:rsidRPr="00DE2EA2">
        <w:rPr>
          <w:rFonts w:ascii="Arial" w:hAnsi="Arial" w:cs="Arial"/>
          <w:sz w:val="20"/>
        </w:rPr>
        <w:t>ding fund balances of $</w:t>
      </w:r>
      <w:r w:rsidR="001F794F">
        <w:rPr>
          <w:rFonts w:ascii="Arial" w:hAnsi="Arial" w:cs="Arial"/>
          <w:sz w:val="20"/>
        </w:rPr>
        <w:t>1,826,748</w:t>
      </w:r>
      <w:r w:rsidR="00243B50" w:rsidRPr="00DE2EA2">
        <w:rPr>
          <w:rFonts w:ascii="Arial" w:hAnsi="Arial" w:cs="Arial"/>
          <w:sz w:val="20"/>
        </w:rPr>
        <w:t>,</w:t>
      </w:r>
      <w:r w:rsidR="009B0CA9" w:rsidRPr="00DE2EA2">
        <w:rPr>
          <w:rFonts w:ascii="Arial" w:hAnsi="Arial" w:cs="Arial"/>
          <w:sz w:val="20"/>
        </w:rPr>
        <w:t xml:space="preserve"> </w:t>
      </w:r>
      <w:r w:rsidR="00D66FA5" w:rsidRPr="00DE2EA2">
        <w:rPr>
          <w:rFonts w:ascii="Arial" w:hAnsi="Arial" w:cs="Arial"/>
          <w:sz w:val="20"/>
        </w:rPr>
        <w:t>a decrease</w:t>
      </w:r>
      <w:r w:rsidR="009B0CA9" w:rsidRPr="00DE2EA2">
        <w:rPr>
          <w:rFonts w:ascii="Arial" w:hAnsi="Arial" w:cs="Arial"/>
          <w:sz w:val="20"/>
        </w:rPr>
        <w:t xml:space="preserve"> of $</w:t>
      </w:r>
      <w:r w:rsidR="001F794F">
        <w:rPr>
          <w:rFonts w:ascii="Arial" w:hAnsi="Arial" w:cs="Arial"/>
          <w:sz w:val="20"/>
        </w:rPr>
        <w:t>25,509</w:t>
      </w:r>
      <w:r w:rsidR="001F6EDE" w:rsidRPr="00DE2EA2">
        <w:rPr>
          <w:rFonts w:ascii="Arial" w:hAnsi="Arial" w:cs="Arial"/>
          <w:sz w:val="20"/>
        </w:rPr>
        <w:t>. Approximately</w:t>
      </w:r>
      <w:r w:rsidR="00FA02B0" w:rsidRPr="00DE2EA2">
        <w:rPr>
          <w:rFonts w:ascii="Arial" w:hAnsi="Arial" w:cs="Arial"/>
          <w:sz w:val="20"/>
        </w:rPr>
        <w:t xml:space="preserve"> </w:t>
      </w:r>
      <w:r w:rsidR="001F794F">
        <w:rPr>
          <w:rFonts w:ascii="Arial" w:hAnsi="Arial" w:cs="Arial"/>
          <w:sz w:val="20"/>
        </w:rPr>
        <w:t>61</w:t>
      </w:r>
      <w:r w:rsidR="00243B50" w:rsidRPr="00DE2EA2">
        <w:rPr>
          <w:rFonts w:ascii="Arial" w:hAnsi="Arial" w:cs="Arial"/>
          <w:sz w:val="20"/>
        </w:rPr>
        <w:t>%</w:t>
      </w:r>
      <w:r w:rsidR="009B0CA9" w:rsidRPr="00DE2EA2">
        <w:rPr>
          <w:rFonts w:ascii="Arial" w:hAnsi="Arial" w:cs="Arial"/>
          <w:sz w:val="20"/>
        </w:rPr>
        <w:t xml:space="preserve"> of this total amount ($</w:t>
      </w:r>
      <w:r w:rsidR="001F794F">
        <w:rPr>
          <w:rFonts w:ascii="Arial" w:hAnsi="Arial" w:cs="Arial"/>
          <w:sz w:val="20"/>
        </w:rPr>
        <w:t>1,114,530</w:t>
      </w:r>
      <w:r w:rsidRPr="00DE2EA2">
        <w:rPr>
          <w:rFonts w:ascii="Arial" w:hAnsi="Arial" w:cs="Arial"/>
          <w:sz w:val="20"/>
        </w:rPr>
        <w:t xml:space="preserve">) constitutes </w:t>
      </w:r>
      <w:r w:rsidRPr="00DE2EA2">
        <w:rPr>
          <w:rFonts w:ascii="Arial" w:hAnsi="Arial" w:cs="Arial"/>
          <w:i/>
          <w:sz w:val="20"/>
        </w:rPr>
        <w:t>un</w:t>
      </w:r>
      <w:r w:rsidR="009E6AA7" w:rsidRPr="00DE2EA2">
        <w:rPr>
          <w:rFonts w:ascii="Arial" w:hAnsi="Arial" w:cs="Arial"/>
          <w:i/>
          <w:sz w:val="20"/>
        </w:rPr>
        <w:t>assigned</w:t>
      </w:r>
      <w:r w:rsidRPr="00DE2EA2">
        <w:rPr>
          <w:rFonts w:ascii="Arial" w:hAnsi="Arial" w:cs="Arial"/>
          <w:i/>
          <w:sz w:val="20"/>
        </w:rPr>
        <w:t xml:space="preserve"> fund balance</w:t>
      </w:r>
      <w:r w:rsidRPr="00DE2EA2">
        <w:rPr>
          <w:rFonts w:ascii="Arial" w:hAnsi="Arial" w:cs="Arial"/>
          <w:sz w:val="20"/>
        </w:rPr>
        <w:t>.</w:t>
      </w:r>
      <w:r w:rsidR="00550D17" w:rsidRPr="00DE2EA2">
        <w:rPr>
          <w:rFonts w:ascii="Arial" w:hAnsi="Arial" w:cs="Arial"/>
          <w:sz w:val="20"/>
        </w:rPr>
        <w:t xml:space="preserve"> </w:t>
      </w:r>
      <w:r w:rsidRPr="00DE2EA2">
        <w:rPr>
          <w:rFonts w:ascii="Arial" w:hAnsi="Arial" w:cs="Arial"/>
          <w:sz w:val="20"/>
        </w:rPr>
        <w:t xml:space="preserve">The remainder of fund balance is </w:t>
      </w:r>
      <w:r w:rsidR="009E6AA7" w:rsidRPr="00DE2EA2">
        <w:rPr>
          <w:rFonts w:ascii="Arial" w:hAnsi="Arial" w:cs="Arial"/>
          <w:i/>
          <w:sz w:val="20"/>
        </w:rPr>
        <w:t>restricted</w:t>
      </w:r>
      <w:r w:rsidR="00DE2EA2" w:rsidRPr="00DE2EA2">
        <w:rPr>
          <w:rFonts w:ascii="Arial" w:hAnsi="Arial" w:cs="Arial"/>
          <w:i/>
          <w:sz w:val="20"/>
        </w:rPr>
        <w:t xml:space="preserve"> and assigned</w:t>
      </w:r>
      <w:r w:rsidRPr="00DE2EA2">
        <w:rPr>
          <w:rFonts w:ascii="Arial" w:hAnsi="Arial" w:cs="Arial"/>
          <w:i/>
          <w:sz w:val="20"/>
        </w:rPr>
        <w:t xml:space="preserve"> </w:t>
      </w:r>
      <w:r w:rsidRPr="00DE2EA2">
        <w:rPr>
          <w:rFonts w:ascii="Arial" w:hAnsi="Arial" w:cs="Arial"/>
          <w:sz w:val="20"/>
        </w:rPr>
        <w:t xml:space="preserve">to indicate that it is not available for new spending because it </w:t>
      </w:r>
      <w:r w:rsidR="00CF4F2A" w:rsidRPr="00DE2EA2">
        <w:rPr>
          <w:rFonts w:ascii="Arial" w:hAnsi="Arial" w:cs="Arial"/>
          <w:sz w:val="20"/>
        </w:rPr>
        <w:t xml:space="preserve">is </w:t>
      </w:r>
      <w:r w:rsidR="00CF4F2A" w:rsidRPr="001F794F">
        <w:rPr>
          <w:rFonts w:ascii="Arial" w:hAnsi="Arial" w:cs="Arial"/>
          <w:i/>
          <w:sz w:val="20"/>
        </w:rPr>
        <w:t>restricted</w:t>
      </w:r>
      <w:r w:rsidR="001F794F">
        <w:rPr>
          <w:rFonts w:ascii="Arial" w:hAnsi="Arial" w:cs="Arial"/>
          <w:sz w:val="20"/>
        </w:rPr>
        <w:t xml:space="preserve"> for the</w:t>
      </w:r>
      <w:r w:rsidR="00CF4F2A" w:rsidRPr="00DE2EA2">
        <w:rPr>
          <w:rFonts w:ascii="Arial" w:hAnsi="Arial" w:cs="Arial"/>
          <w:sz w:val="20"/>
        </w:rPr>
        <w:t xml:space="preserve"> </w:t>
      </w:r>
      <w:r w:rsidR="001F794F">
        <w:rPr>
          <w:rFonts w:ascii="Arial" w:hAnsi="Arial" w:cs="Arial"/>
          <w:sz w:val="20"/>
        </w:rPr>
        <w:t>(1) retirement of long-term debt</w:t>
      </w:r>
      <w:r w:rsidR="009B0CA9" w:rsidRPr="00DE2EA2">
        <w:rPr>
          <w:rFonts w:ascii="Arial" w:hAnsi="Arial" w:cs="Arial"/>
          <w:sz w:val="20"/>
        </w:rPr>
        <w:t xml:space="preserve"> ($</w:t>
      </w:r>
      <w:r w:rsidR="001F794F">
        <w:rPr>
          <w:rFonts w:ascii="Arial" w:hAnsi="Arial" w:cs="Arial"/>
          <w:sz w:val="20"/>
        </w:rPr>
        <w:t>207,564</w:t>
      </w:r>
      <w:r w:rsidRPr="00DE2EA2">
        <w:rPr>
          <w:rFonts w:ascii="Arial" w:hAnsi="Arial" w:cs="Arial"/>
          <w:sz w:val="20"/>
        </w:rPr>
        <w:t xml:space="preserve">), </w:t>
      </w:r>
      <w:r w:rsidR="001F794F">
        <w:rPr>
          <w:rFonts w:ascii="Arial" w:hAnsi="Arial" w:cs="Arial"/>
          <w:sz w:val="20"/>
        </w:rPr>
        <w:t>and for (2) f</w:t>
      </w:r>
      <w:r w:rsidR="00221BC5" w:rsidRPr="00DE2EA2">
        <w:rPr>
          <w:rFonts w:ascii="Arial" w:hAnsi="Arial" w:cs="Arial"/>
          <w:sz w:val="20"/>
        </w:rPr>
        <w:t>ederal/state grant restrictions</w:t>
      </w:r>
      <w:r w:rsidR="00726268" w:rsidRPr="00DE2EA2">
        <w:rPr>
          <w:rFonts w:ascii="Arial" w:hAnsi="Arial" w:cs="Arial"/>
          <w:sz w:val="20"/>
        </w:rPr>
        <w:t xml:space="preserve"> ($</w:t>
      </w:r>
      <w:r w:rsidR="001F794F">
        <w:rPr>
          <w:rFonts w:ascii="Arial" w:hAnsi="Arial" w:cs="Arial"/>
          <w:sz w:val="20"/>
        </w:rPr>
        <w:t>4,654</w:t>
      </w:r>
      <w:r w:rsidR="00726268" w:rsidRPr="00DE2EA2">
        <w:rPr>
          <w:rFonts w:ascii="Arial" w:hAnsi="Arial" w:cs="Arial"/>
          <w:sz w:val="20"/>
        </w:rPr>
        <w:t>)</w:t>
      </w:r>
      <w:r w:rsidR="001F794F">
        <w:rPr>
          <w:rFonts w:ascii="Arial" w:hAnsi="Arial" w:cs="Arial"/>
          <w:sz w:val="20"/>
        </w:rPr>
        <w:t>,</w:t>
      </w:r>
      <w:r w:rsidR="003F4570" w:rsidRPr="00DE2EA2">
        <w:rPr>
          <w:rFonts w:ascii="Arial" w:hAnsi="Arial" w:cs="Arial"/>
          <w:sz w:val="20"/>
        </w:rPr>
        <w:t xml:space="preserve"> and </w:t>
      </w:r>
      <w:r w:rsidR="00DE2EA2" w:rsidRPr="001F794F">
        <w:rPr>
          <w:rFonts w:ascii="Arial" w:hAnsi="Arial" w:cs="Arial"/>
          <w:i/>
          <w:sz w:val="20"/>
        </w:rPr>
        <w:t>assigned</w:t>
      </w:r>
      <w:r w:rsidR="00DE2EA2" w:rsidRPr="00DE2EA2">
        <w:rPr>
          <w:rFonts w:ascii="Arial" w:hAnsi="Arial" w:cs="Arial"/>
          <w:sz w:val="20"/>
        </w:rPr>
        <w:t xml:space="preserve"> </w:t>
      </w:r>
      <w:r w:rsidR="003F4570" w:rsidRPr="00DE2EA2">
        <w:rPr>
          <w:rFonts w:ascii="Arial" w:hAnsi="Arial" w:cs="Arial"/>
          <w:sz w:val="20"/>
        </w:rPr>
        <w:t>(</w:t>
      </w:r>
      <w:r w:rsidR="00DE2EA2" w:rsidRPr="00DE2EA2">
        <w:rPr>
          <w:rFonts w:ascii="Arial" w:hAnsi="Arial" w:cs="Arial"/>
          <w:sz w:val="20"/>
        </w:rPr>
        <w:t>1) to pay for other expenditures as needed</w:t>
      </w:r>
      <w:r w:rsidR="003F4570" w:rsidRPr="00DE2EA2">
        <w:rPr>
          <w:rFonts w:ascii="Arial" w:hAnsi="Arial" w:cs="Arial"/>
          <w:sz w:val="20"/>
        </w:rPr>
        <w:t xml:space="preserve"> ($</w:t>
      </w:r>
      <w:r w:rsidR="001F794F">
        <w:rPr>
          <w:rFonts w:ascii="Arial" w:hAnsi="Arial" w:cs="Arial"/>
          <w:sz w:val="20"/>
        </w:rPr>
        <w:t>500,000</w:t>
      </w:r>
      <w:r w:rsidR="003F4570" w:rsidRPr="00DE2EA2">
        <w:rPr>
          <w:rFonts w:ascii="Arial" w:hAnsi="Arial" w:cs="Arial"/>
          <w:sz w:val="20"/>
        </w:rPr>
        <w:t>)</w:t>
      </w:r>
      <w:r w:rsidR="0061421A" w:rsidRPr="00DE2EA2">
        <w:rPr>
          <w:rFonts w:ascii="Arial" w:hAnsi="Arial" w:cs="Arial"/>
          <w:sz w:val="20"/>
        </w:rPr>
        <w:t>.</w:t>
      </w:r>
    </w:p>
    <w:p w:rsidR="001E1298" w:rsidRPr="00DE2EA2" w:rsidRDefault="001E1298">
      <w:pPr>
        <w:jc w:val="both"/>
        <w:rPr>
          <w:rFonts w:ascii="Arial" w:hAnsi="Arial" w:cs="Arial"/>
          <w:sz w:val="20"/>
        </w:rPr>
      </w:pPr>
    </w:p>
    <w:p w:rsidR="001E1298" w:rsidRPr="00120D8B" w:rsidRDefault="001E1298">
      <w:pPr>
        <w:jc w:val="both"/>
        <w:rPr>
          <w:rFonts w:ascii="Arial" w:hAnsi="Arial" w:cs="Arial"/>
          <w:sz w:val="20"/>
        </w:rPr>
      </w:pPr>
      <w:r w:rsidRPr="00DE2EA2">
        <w:rPr>
          <w:rFonts w:ascii="Arial" w:hAnsi="Arial" w:cs="Arial"/>
          <w:sz w:val="20"/>
        </w:rPr>
        <w:t>The general fund is the primary operating fund of the District.</w:t>
      </w:r>
      <w:r w:rsidR="00550D17" w:rsidRPr="00DE2EA2">
        <w:rPr>
          <w:rFonts w:ascii="Arial" w:hAnsi="Arial" w:cs="Arial"/>
          <w:sz w:val="20"/>
        </w:rPr>
        <w:t xml:space="preserve"> </w:t>
      </w:r>
      <w:r w:rsidRPr="00DE2EA2">
        <w:rPr>
          <w:rFonts w:ascii="Arial" w:hAnsi="Arial" w:cs="Arial"/>
          <w:sz w:val="20"/>
        </w:rPr>
        <w:t>At the end of the current fiscal year, un</w:t>
      </w:r>
      <w:r w:rsidR="009E6AA7" w:rsidRPr="00DE2EA2">
        <w:rPr>
          <w:rFonts w:ascii="Arial" w:hAnsi="Arial" w:cs="Arial"/>
          <w:sz w:val="20"/>
        </w:rPr>
        <w:t>assigned</w:t>
      </w:r>
      <w:r w:rsidRPr="00DE2EA2">
        <w:rPr>
          <w:rFonts w:ascii="Arial" w:hAnsi="Arial" w:cs="Arial"/>
          <w:sz w:val="20"/>
        </w:rPr>
        <w:t xml:space="preserve"> fund balance </w:t>
      </w:r>
      <w:r w:rsidR="009B0CA9" w:rsidRPr="00DE2EA2">
        <w:rPr>
          <w:rFonts w:ascii="Arial" w:hAnsi="Arial" w:cs="Arial"/>
          <w:sz w:val="20"/>
        </w:rPr>
        <w:t>of the general fund was $</w:t>
      </w:r>
      <w:r w:rsidR="001F794F">
        <w:rPr>
          <w:rFonts w:ascii="Arial" w:hAnsi="Arial" w:cs="Arial"/>
          <w:sz w:val="20"/>
        </w:rPr>
        <w:t>1,114,530</w:t>
      </w:r>
      <w:r w:rsidRPr="00DE2EA2">
        <w:rPr>
          <w:rFonts w:ascii="Arial" w:hAnsi="Arial" w:cs="Arial"/>
          <w:sz w:val="20"/>
        </w:rPr>
        <w:t>.</w:t>
      </w:r>
      <w:r w:rsidR="00550D17" w:rsidRPr="00DE2EA2">
        <w:rPr>
          <w:rFonts w:ascii="Arial" w:hAnsi="Arial" w:cs="Arial"/>
          <w:sz w:val="20"/>
        </w:rPr>
        <w:t xml:space="preserve"> </w:t>
      </w:r>
      <w:r w:rsidRPr="00DE2EA2">
        <w:rPr>
          <w:rFonts w:ascii="Arial" w:hAnsi="Arial" w:cs="Arial"/>
          <w:sz w:val="20"/>
        </w:rPr>
        <w:t>As a measure of the general fund’s liquidity, it may be useful to compare un</w:t>
      </w:r>
      <w:r w:rsidR="009E6AA7" w:rsidRPr="00DE2EA2">
        <w:rPr>
          <w:rFonts w:ascii="Arial" w:hAnsi="Arial" w:cs="Arial"/>
          <w:sz w:val="20"/>
        </w:rPr>
        <w:t>assigned</w:t>
      </w:r>
      <w:r w:rsidRPr="00DE2EA2">
        <w:rPr>
          <w:rFonts w:ascii="Arial" w:hAnsi="Arial" w:cs="Arial"/>
          <w:sz w:val="20"/>
        </w:rPr>
        <w:t xml:space="preserve"> fund balance to the total fund expenditures.</w:t>
      </w:r>
      <w:r w:rsidR="00550D17" w:rsidRPr="00DE2EA2">
        <w:rPr>
          <w:rFonts w:ascii="Arial" w:hAnsi="Arial" w:cs="Arial"/>
          <w:sz w:val="20"/>
        </w:rPr>
        <w:t xml:space="preserve"> </w:t>
      </w:r>
      <w:r w:rsidRPr="00DE2EA2">
        <w:rPr>
          <w:rFonts w:ascii="Arial" w:hAnsi="Arial" w:cs="Arial"/>
          <w:sz w:val="20"/>
        </w:rPr>
        <w:t>Un</w:t>
      </w:r>
      <w:r w:rsidR="009E6AA7" w:rsidRPr="00DE2EA2">
        <w:rPr>
          <w:rFonts w:ascii="Arial" w:hAnsi="Arial" w:cs="Arial"/>
          <w:sz w:val="20"/>
        </w:rPr>
        <w:t>assigned</w:t>
      </w:r>
      <w:r w:rsidR="001F6EDE" w:rsidRPr="00DE2EA2">
        <w:rPr>
          <w:rFonts w:ascii="Arial" w:hAnsi="Arial" w:cs="Arial"/>
          <w:sz w:val="20"/>
        </w:rPr>
        <w:t xml:space="preserve"> fund balance represents </w:t>
      </w:r>
      <w:r w:rsidR="001F794F">
        <w:rPr>
          <w:rFonts w:ascii="Arial" w:hAnsi="Arial" w:cs="Arial"/>
          <w:sz w:val="20"/>
        </w:rPr>
        <w:t>23</w:t>
      </w:r>
      <w:r w:rsidR="00243B50" w:rsidRPr="00DE2EA2">
        <w:rPr>
          <w:rFonts w:ascii="Arial" w:hAnsi="Arial" w:cs="Arial"/>
          <w:sz w:val="20"/>
        </w:rPr>
        <w:t>%</w:t>
      </w:r>
      <w:r w:rsidRPr="00DE2EA2">
        <w:rPr>
          <w:rFonts w:ascii="Arial" w:hAnsi="Arial" w:cs="Arial"/>
          <w:sz w:val="20"/>
        </w:rPr>
        <w:t xml:space="preserve"> of the total general fund expenditures.</w:t>
      </w:r>
    </w:p>
    <w:p w:rsidR="001E1298" w:rsidRPr="00120D8B" w:rsidRDefault="001E1298">
      <w:pPr>
        <w:jc w:val="both"/>
        <w:rPr>
          <w:rFonts w:ascii="Arial" w:hAnsi="Arial" w:cs="Arial"/>
          <w:sz w:val="20"/>
        </w:rPr>
      </w:pPr>
    </w:p>
    <w:p w:rsidR="00BD5D6B" w:rsidRPr="004C506D" w:rsidRDefault="001E1298" w:rsidP="0001649D">
      <w:pPr>
        <w:jc w:val="both"/>
        <w:rPr>
          <w:rFonts w:ascii="Arial" w:hAnsi="Arial" w:cs="Arial"/>
          <w:sz w:val="20"/>
          <w:highlight w:val="yellow"/>
        </w:rPr>
      </w:pPr>
      <w:proofErr w:type="gramStart"/>
      <w:r w:rsidRPr="001F794F">
        <w:rPr>
          <w:rFonts w:ascii="Arial" w:hAnsi="Arial" w:cs="Arial"/>
          <w:sz w:val="20"/>
        </w:rPr>
        <w:t>The fund balance of the D</w:t>
      </w:r>
      <w:r w:rsidR="00EC0E71" w:rsidRPr="001F794F">
        <w:rPr>
          <w:rFonts w:ascii="Arial" w:hAnsi="Arial" w:cs="Arial"/>
          <w:sz w:val="20"/>
        </w:rPr>
        <w:t>istrict’s ge</w:t>
      </w:r>
      <w:r w:rsidR="009B0CA9" w:rsidRPr="001F794F">
        <w:rPr>
          <w:rFonts w:ascii="Arial" w:hAnsi="Arial" w:cs="Arial"/>
          <w:sz w:val="20"/>
        </w:rPr>
        <w:t xml:space="preserve">neral fund </w:t>
      </w:r>
      <w:r w:rsidR="001F794F" w:rsidRPr="001F794F">
        <w:rPr>
          <w:rFonts w:ascii="Arial" w:hAnsi="Arial" w:cs="Arial"/>
          <w:sz w:val="20"/>
        </w:rPr>
        <w:t>de</w:t>
      </w:r>
      <w:r w:rsidR="009B0CA9" w:rsidRPr="001F794F">
        <w:rPr>
          <w:rFonts w:ascii="Arial" w:hAnsi="Arial" w:cs="Arial"/>
          <w:sz w:val="20"/>
        </w:rPr>
        <w:t xml:space="preserve">creased </w:t>
      </w:r>
      <w:r w:rsidR="00DE2EA2" w:rsidRPr="001F794F">
        <w:rPr>
          <w:rFonts w:ascii="Arial" w:hAnsi="Arial" w:cs="Arial"/>
          <w:sz w:val="20"/>
        </w:rPr>
        <w:t xml:space="preserve">by </w:t>
      </w:r>
      <w:r w:rsidR="009B0CA9" w:rsidRPr="001F794F">
        <w:rPr>
          <w:rFonts w:ascii="Arial" w:hAnsi="Arial" w:cs="Arial"/>
          <w:sz w:val="20"/>
        </w:rPr>
        <w:t>$</w:t>
      </w:r>
      <w:r w:rsidR="001F794F" w:rsidRPr="001F794F">
        <w:rPr>
          <w:rFonts w:ascii="Arial" w:hAnsi="Arial" w:cs="Arial"/>
          <w:sz w:val="20"/>
        </w:rPr>
        <w:t>11</w:t>
      </w:r>
      <w:r w:rsidR="00DE2EA2" w:rsidRPr="001F794F">
        <w:rPr>
          <w:rFonts w:ascii="Arial" w:hAnsi="Arial" w:cs="Arial"/>
          <w:sz w:val="20"/>
        </w:rPr>
        <w:t>,</w:t>
      </w:r>
      <w:r w:rsidR="001F794F" w:rsidRPr="001F794F">
        <w:rPr>
          <w:rFonts w:ascii="Arial" w:hAnsi="Arial" w:cs="Arial"/>
          <w:sz w:val="20"/>
        </w:rPr>
        <w:t>864</w:t>
      </w:r>
      <w:r w:rsidR="004D27BE" w:rsidRPr="001F794F">
        <w:rPr>
          <w:rFonts w:ascii="Arial" w:hAnsi="Arial" w:cs="Arial"/>
          <w:sz w:val="20"/>
        </w:rPr>
        <w:t xml:space="preserve"> </w:t>
      </w:r>
      <w:r w:rsidRPr="001F794F">
        <w:rPr>
          <w:rFonts w:ascii="Arial" w:hAnsi="Arial" w:cs="Arial"/>
          <w:sz w:val="20"/>
        </w:rPr>
        <w:t>during the current fiscal yea</w:t>
      </w:r>
      <w:r w:rsidR="00BF184B" w:rsidRPr="001F794F">
        <w:rPr>
          <w:rFonts w:ascii="Arial" w:hAnsi="Arial" w:cs="Arial"/>
          <w:sz w:val="20"/>
        </w:rPr>
        <w:t>r.</w:t>
      </w:r>
      <w:proofErr w:type="gramEnd"/>
      <w:r w:rsidR="00550D17" w:rsidRPr="001F794F">
        <w:rPr>
          <w:rFonts w:ascii="Arial" w:hAnsi="Arial" w:cs="Arial"/>
          <w:sz w:val="20"/>
        </w:rPr>
        <w:t xml:space="preserve"> </w:t>
      </w:r>
    </w:p>
    <w:p w:rsidR="009912BB" w:rsidRPr="001533F7" w:rsidRDefault="009912BB" w:rsidP="009912BB">
      <w:pPr>
        <w:jc w:val="both"/>
        <w:rPr>
          <w:rFonts w:ascii="Arial" w:hAnsi="Arial" w:cs="Arial"/>
          <w:sz w:val="20"/>
        </w:rPr>
      </w:pPr>
    </w:p>
    <w:p w:rsidR="009912BB" w:rsidRPr="001533F7" w:rsidRDefault="009912BB" w:rsidP="009912BB">
      <w:pPr>
        <w:pStyle w:val="Heading1"/>
        <w:jc w:val="both"/>
        <w:rPr>
          <w:rFonts w:ascii="Arial" w:hAnsi="Arial" w:cs="Arial"/>
          <w:sz w:val="20"/>
        </w:rPr>
      </w:pPr>
      <w:r w:rsidRPr="001533F7">
        <w:rPr>
          <w:rFonts w:ascii="Arial" w:hAnsi="Arial" w:cs="Arial"/>
          <w:sz w:val="20"/>
        </w:rPr>
        <w:t>Budgetary Highlights</w:t>
      </w:r>
    </w:p>
    <w:p w:rsidR="00EC583C" w:rsidRPr="001533F7" w:rsidRDefault="00EC583C" w:rsidP="00634467">
      <w:pPr>
        <w:pStyle w:val="BodyText"/>
        <w:jc w:val="both"/>
        <w:rPr>
          <w:rFonts w:ascii="Arial" w:hAnsi="Arial" w:cs="Arial"/>
          <w:sz w:val="20"/>
        </w:rPr>
      </w:pPr>
    </w:p>
    <w:p w:rsidR="008F2767" w:rsidRPr="001533F7" w:rsidRDefault="00243B50" w:rsidP="00243B50">
      <w:pPr>
        <w:jc w:val="both"/>
        <w:rPr>
          <w:rFonts w:ascii="Arial" w:hAnsi="Arial" w:cs="Arial"/>
          <w:sz w:val="20"/>
        </w:rPr>
      </w:pPr>
      <w:r w:rsidRPr="001533F7">
        <w:rPr>
          <w:rFonts w:ascii="Arial" w:hAnsi="Arial" w:cs="Arial"/>
          <w:sz w:val="20"/>
        </w:rPr>
        <w:t>Over the course of the year, the District recommended and the Board approved several revisions to budgeted revenue and appropriations.</w:t>
      </w:r>
      <w:r w:rsidR="00550D17" w:rsidRPr="001533F7">
        <w:rPr>
          <w:rFonts w:ascii="Arial" w:hAnsi="Arial" w:cs="Arial"/>
          <w:sz w:val="20"/>
        </w:rPr>
        <w:t xml:space="preserve"> </w:t>
      </w:r>
      <w:r w:rsidR="004C506D" w:rsidRPr="001533F7">
        <w:rPr>
          <w:rFonts w:ascii="Arial" w:hAnsi="Arial" w:cs="Arial"/>
          <w:sz w:val="20"/>
        </w:rPr>
        <w:t>These amendments fall into the following categories:</w:t>
      </w:r>
    </w:p>
    <w:p w:rsidR="004C506D" w:rsidRPr="001533F7" w:rsidRDefault="004C506D" w:rsidP="00243B50">
      <w:pPr>
        <w:jc w:val="both"/>
        <w:rPr>
          <w:rFonts w:ascii="Arial" w:hAnsi="Arial" w:cs="Arial"/>
          <w:sz w:val="20"/>
        </w:rPr>
      </w:pPr>
    </w:p>
    <w:p w:rsidR="001F794F" w:rsidRPr="001533F7" w:rsidRDefault="000F0689" w:rsidP="001F794F">
      <w:pPr>
        <w:numPr>
          <w:ilvl w:val="0"/>
          <w:numId w:val="29"/>
        </w:numPr>
        <w:jc w:val="both"/>
        <w:rPr>
          <w:rFonts w:ascii="Arial" w:hAnsi="Arial" w:cs="Arial"/>
          <w:sz w:val="20"/>
        </w:rPr>
      </w:pPr>
      <w:r w:rsidRPr="001533F7">
        <w:rPr>
          <w:rFonts w:ascii="Arial" w:hAnsi="Arial" w:cs="Arial"/>
          <w:sz w:val="20"/>
        </w:rPr>
        <w:t>Two bus purchases ($186,000) and pay off bus lease ($32,498)</w:t>
      </w:r>
      <w:r w:rsidR="001F794F" w:rsidRPr="001533F7">
        <w:rPr>
          <w:rFonts w:ascii="Arial" w:hAnsi="Arial" w:cs="Arial"/>
          <w:sz w:val="20"/>
        </w:rPr>
        <w:t>.</w:t>
      </w:r>
    </w:p>
    <w:p w:rsidR="001F794F" w:rsidRPr="001533F7" w:rsidRDefault="000F0689" w:rsidP="001F794F">
      <w:pPr>
        <w:numPr>
          <w:ilvl w:val="0"/>
          <w:numId w:val="29"/>
        </w:numPr>
        <w:jc w:val="both"/>
        <w:rPr>
          <w:rFonts w:ascii="Arial" w:hAnsi="Arial" w:cs="Arial"/>
          <w:sz w:val="20"/>
        </w:rPr>
      </w:pPr>
      <w:r w:rsidRPr="001533F7">
        <w:rPr>
          <w:rFonts w:ascii="Arial" w:hAnsi="Arial" w:cs="Arial"/>
          <w:sz w:val="20"/>
        </w:rPr>
        <w:t>Capital outlay – 4 ac units (total cost $27,772)</w:t>
      </w:r>
      <w:r w:rsidR="001F794F" w:rsidRPr="001533F7">
        <w:rPr>
          <w:rFonts w:ascii="Arial" w:hAnsi="Arial" w:cs="Arial"/>
          <w:sz w:val="20"/>
        </w:rPr>
        <w:t>.</w:t>
      </w:r>
    </w:p>
    <w:p w:rsidR="00BD5D6B" w:rsidRPr="001533F7" w:rsidRDefault="00BD5D6B" w:rsidP="00BD5D6B">
      <w:pPr>
        <w:pStyle w:val="ListParagraph"/>
        <w:jc w:val="both"/>
        <w:rPr>
          <w:rFonts w:ascii="Arial" w:hAnsi="Arial" w:cs="Arial"/>
          <w:sz w:val="20"/>
        </w:rPr>
      </w:pPr>
    </w:p>
    <w:p w:rsidR="00243B50" w:rsidRPr="001533F7" w:rsidRDefault="004C506D" w:rsidP="00243B50">
      <w:pPr>
        <w:jc w:val="both"/>
        <w:rPr>
          <w:rFonts w:ascii="Arial" w:hAnsi="Arial" w:cs="Arial"/>
          <w:sz w:val="20"/>
        </w:rPr>
      </w:pPr>
      <w:r w:rsidRPr="001533F7">
        <w:rPr>
          <w:rFonts w:ascii="Arial" w:hAnsi="Arial" w:cs="Arial"/>
          <w:sz w:val="20"/>
        </w:rPr>
        <w:t>The following are significant variations between the final budget and actual amounts for the general fund:</w:t>
      </w:r>
    </w:p>
    <w:p w:rsidR="004C506D" w:rsidRPr="001533F7" w:rsidRDefault="004C506D" w:rsidP="00243B50">
      <w:pPr>
        <w:jc w:val="both"/>
        <w:rPr>
          <w:rFonts w:ascii="Arial" w:hAnsi="Arial" w:cs="Arial"/>
          <w:sz w:val="20"/>
        </w:rPr>
      </w:pPr>
    </w:p>
    <w:p w:rsidR="008F2767" w:rsidRPr="001533F7" w:rsidRDefault="007C5CB1" w:rsidP="003B3D1D">
      <w:pPr>
        <w:pStyle w:val="ListParagraph"/>
        <w:numPr>
          <w:ilvl w:val="0"/>
          <w:numId w:val="29"/>
        </w:numPr>
        <w:jc w:val="both"/>
        <w:rPr>
          <w:rFonts w:ascii="Arial" w:hAnsi="Arial" w:cs="Arial"/>
          <w:sz w:val="20"/>
        </w:rPr>
      </w:pPr>
      <w:r w:rsidRPr="001533F7">
        <w:rPr>
          <w:rFonts w:ascii="Arial" w:hAnsi="Arial" w:cs="Arial"/>
          <w:sz w:val="20"/>
        </w:rPr>
        <w:t>Actual revenues were low</w:t>
      </w:r>
      <w:r w:rsidR="004646D3" w:rsidRPr="001533F7">
        <w:rPr>
          <w:rFonts w:ascii="Arial" w:hAnsi="Arial" w:cs="Arial"/>
          <w:sz w:val="20"/>
        </w:rPr>
        <w:t>er than the budgeted amount by $</w:t>
      </w:r>
      <w:r w:rsidRPr="001533F7">
        <w:rPr>
          <w:rFonts w:ascii="Arial" w:hAnsi="Arial" w:cs="Arial"/>
          <w:sz w:val="20"/>
        </w:rPr>
        <w:t>17,629 primar</w:t>
      </w:r>
      <w:r w:rsidR="00E219A3" w:rsidRPr="001533F7">
        <w:rPr>
          <w:rFonts w:ascii="Arial" w:hAnsi="Arial" w:cs="Arial"/>
          <w:sz w:val="20"/>
        </w:rPr>
        <w:t>il</w:t>
      </w:r>
      <w:r w:rsidRPr="001533F7">
        <w:rPr>
          <w:rFonts w:ascii="Arial" w:hAnsi="Arial" w:cs="Arial"/>
          <w:sz w:val="20"/>
        </w:rPr>
        <w:t>y related to a de</w:t>
      </w:r>
      <w:r w:rsidR="004646D3" w:rsidRPr="001533F7">
        <w:rPr>
          <w:rFonts w:ascii="Arial" w:hAnsi="Arial" w:cs="Arial"/>
          <w:sz w:val="20"/>
        </w:rPr>
        <w:t xml:space="preserve">crease in </w:t>
      </w:r>
      <w:r w:rsidRPr="001533F7">
        <w:rPr>
          <w:rFonts w:ascii="Arial" w:hAnsi="Arial" w:cs="Arial"/>
          <w:sz w:val="20"/>
        </w:rPr>
        <w:t>state program revenues</w:t>
      </w:r>
      <w:r w:rsidR="004646D3" w:rsidRPr="001533F7">
        <w:rPr>
          <w:rFonts w:ascii="Arial" w:hAnsi="Arial" w:cs="Arial"/>
          <w:sz w:val="20"/>
        </w:rPr>
        <w:t xml:space="preserve">; and </w:t>
      </w:r>
      <w:r w:rsidR="000F0689" w:rsidRPr="001533F7">
        <w:rPr>
          <w:rFonts w:ascii="Arial" w:hAnsi="Arial" w:cs="Arial"/>
          <w:sz w:val="20"/>
        </w:rPr>
        <w:t>due to flat student growth.</w:t>
      </w:r>
    </w:p>
    <w:p w:rsidR="004646D3" w:rsidRDefault="004646D3" w:rsidP="003B3D1D">
      <w:pPr>
        <w:pStyle w:val="ListParagraph"/>
        <w:numPr>
          <w:ilvl w:val="0"/>
          <w:numId w:val="29"/>
        </w:numPr>
        <w:jc w:val="both"/>
        <w:rPr>
          <w:rFonts w:ascii="Arial" w:hAnsi="Arial" w:cs="Arial"/>
          <w:sz w:val="20"/>
        </w:rPr>
      </w:pPr>
      <w:r w:rsidRPr="004646D3">
        <w:rPr>
          <w:rFonts w:ascii="Arial" w:hAnsi="Arial" w:cs="Arial"/>
          <w:sz w:val="20"/>
        </w:rPr>
        <w:t>Actual expenditures were lower than budgeted by $</w:t>
      </w:r>
      <w:r w:rsidR="007C5CB1">
        <w:rPr>
          <w:rFonts w:ascii="Arial" w:hAnsi="Arial" w:cs="Arial"/>
          <w:sz w:val="20"/>
        </w:rPr>
        <w:t>351,201</w:t>
      </w:r>
      <w:r w:rsidRPr="004646D3">
        <w:rPr>
          <w:rFonts w:ascii="Arial" w:hAnsi="Arial" w:cs="Arial"/>
          <w:sz w:val="20"/>
        </w:rPr>
        <w:t xml:space="preserve"> primarily due to </w:t>
      </w:r>
      <w:r w:rsidR="007C5CB1">
        <w:rPr>
          <w:rFonts w:ascii="Arial" w:hAnsi="Arial" w:cs="Arial"/>
          <w:sz w:val="20"/>
        </w:rPr>
        <w:t>a decrease within i</w:t>
      </w:r>
      <w:r w:rsidRPr="004646D3">
        <w:rPr>
          <w:rFonts w:ascii="Arial" w:hAnsi="Arial" w:cs="Arial"/>
          <w:sz w:val="20"/>
        </w:rPr>
        <w:t xml:space="preserve">nstruction, </w:t>
      </w:r>
      <w:r w:rsidR="007C5CB1">
        <w:rPr>
          <w:rFonts w:ascii="Arial" w:hAnsi="Arial" w:cs="Arial"/>
          <w:sz w:val="20"/>
        </w:rPr>
        <w:t>s</w:t>
      </w:r>
      <w:r w:rsidRPr="004646D3">
        <w:rPr>
          <w:rFonts w:ascii="Arial" w:hAnsi="Arial" w:cs="Arial"/>
          <w:sz w:val="20"/>
        </w:rPr>
        <w:t>tudent</w:t>
      </w:r>
      <w:r w:rsidR="007C5CB1">
        <w:rPr>
          <w:rFonts w:ascii="Arial" w:hAnsi="Arial" w:cs="Arial"/>
          <w:sz w:val="20"/>
        </w:rPr>
        <w:t xml:space="preserve"> (pupil) transportation</w:t>
      </w:r>
      <w:r w:rsidRPr="004646D3">
        <w:rPr>
          <w:rFonts w:ascii="Arial" w:hAnsi="Arial" w:cs="Arial"/>
          <w:sz w:val="20"/>
        </w:rPr>
        <w:t xml:space="preserve">, and </w:t>
      </w:r>
      <w:r w:rsidR="007C5CB1">
        <w:rPr>
          <w:rFonts w:ascii="Arial" w:hAnsi="Arial" w:cs="Arial"/>
          <w:sz w:val="20"/>
        </w:rPr>
        <w:t>plant maintenance and operations</w:t>
      </w:r>
      <w:r w:rsidRPr="004646D3">
        <w:rPr>
          <w:rFonts w:ascii="Arial" w:hAnsi="Arial" w:cs="Arial"/>
          <w:sz w:val="20"/>
        </w:rPr>
        <w:t>.</w:t>
      </w:r>
    </w:p>
    <w:p w:rsidR="004C506D" w:rsidRPr="004646D3" w:rsidRDefault="004C506D" w:rsidP="004C506D">
      <w:pPr>
        <w:pStyle w:val="ListParagraph"/>
        <w:jc w:val="both"/>
        <w:rPr>
          <w:rFonts w:ascii="Arial" w:hAnsi="Arial" w:cs="Arial"/>
          <w:sz w:val="20"/>
        </w:rPr>
      </w:pPr>
    </w:p>
    <w:p w:rsidR="001E1298" w:rsidRDefault="001E1298">
      <w:pPr>
        <w:pStyle w:val="Heading1"/>
        <w:jc w:val="both"/>
        <w:rPr>
          <w:rFonts w:ascii="Arial" w:hAnsi="Arial" w:cs="Arial"/>
          <w:sz w:val="20"/>
        </w:rPr>
      </w:pPr>
      <w:r w:rsidRPr="00120D8B">
        <w:rPr>
          <w:rFonts w:ascii="Arial" w:hAnsi="Arial" w:cs="Arial"/>
          <w:sz w:val="20"/>
        </w:rPr>
        <w:lastRenderedPageBreak/>
        <w:t>Capital Asset and Debt Administration</w:t>
      </w:r>
    </w:p>
    <w:p w:rsidR="00DE2EA2" w:rsidRPr="00DE2EA2" w:rsidRDefault="00DE2EA2" w:rsidP="00DE2EA2"/>
    <w:p w:rsidR="001E1298" w:rsidRDefault="00DE2EA2">
      <w:pPr>
        <w:jc w:val="both"/>
        <w:rPr>
          <w:rFonts w:ascii="Arial" w:hAnsi="Arial" w:cs="Arial"/>
          <w:sz w:val="20"/>
        </w:rPr>
      </w:pPr>
      <w:proofErr w:type="gramStart"/>
      <w:r>
        <w:rPr>
          <w:rFonts w:ascii="Arial" w:hAnsi="Arial" w:cs="Arial"/>
          <w:b/>
          <w:sz w:val="20"/>
        </w:rPr>
        <w:t>C</w:t>
      </w:r>
      <w:r w:rsidR="001E1298" w:rsidRPr="00120D8B">
        <w:rPr>
          <w:rFonts w:ascii="Arial" w:hAnsi="Arial" w:cs="Arial"/>
          <w:b/>
          <w:sz w:val="20"/>
        </w:rPr>
        <w:t>apital assets</w:t>
      </w:r>
      <w:r w:rsidR="001E1298" w:rsidRPr="00DE2EA2">
        <w:rPr>
          <w:rFonts w:ascii="Arial" w:hAnsi="Arial" w:cs="Arial"/>
          <w:b/>
          <w:sz w:val="20"/>
        </w:rPr>
        <w:t>.</w:t>
      </w:r>
      <w:proofErr w:type="gramEnd"/>
      <w:r w:rsidR="00550D17" w:rsidRPr="00DE2EA2">
        <w:rPr>
          <w:rFonts w:ascii="Arial" w:hAnsi="Arial" w:cs="Arial"/>
          <w:sz w:val="20"/>
        </w:rPr>
        <w:t xml:space="preserve"> </w:t>
      </w:r>
      <w:r w:rsidR="001E1298" w:rsidRPr="00DE2EA2">
        <w:rPr>
          <w:rFonts w:ascii="Arial" w:hAnsi="Arial" w:cs="Arial"/>
          <w:sz w:val="20"/>
        </w:rPr>
        <w:t xml:space="preserve">The District’s investment in capital assets for its governmental </w:t>
      </w:r>
      <w:r w:rsidR="009B0CA9" w:rsidRPr="00DE2EA2">
        <w:rPr>
          <w:rFonts w:ascii="Arial" w:hAnsi="Arial" w:cs="Arial"/>
          <w:sz w:val="20"/>
        </w:rPr>
        <w:t xml:space="preserve">activities as of August 31, </w:t>
      </w:r>
      <w:r w:rsidR="009A0AB5">
        <w:rPr>
          <w:rFonts w:ascii="Arial" w:hAnsi="Arial" w:cs="Arial"/>
          <w:sz w:val="20"/>
        </w:rPr>
        <w:fldChar w:fldCharType="begin"/>
      </w:r>
      <w:r w:rsidR="009A0AB5">
        <w:rPr>
          <w:rFonts w:ascii="Arial" w:hAnsi="Arial" w:cs="Arial"/>
          <w:sz w:val="20"/>
        </w:rPr>
        <w:instrText xml:space="preserve"> DOCVARIABLE Date@Engagement©Date@Amount@Report@[CP]@C@All@All@@@@@\@ "yyyy" \* MERGEFORMAT </w:instrText>
      </w:r>
      <w:r w:rsidR="009A0AB5">
        <w:rPr>
          <w:rFonts w:ascii="Arial" w:hAnsi="Arial" w:cs="Arial"/>
          <w:sz w:val="20"/>
        </w:rPr>
        <w:fldChar w:fldCharType="separate"/>
      </w:r>
      <w:r w:rsidR="00943950">
        <w:rPr>
          <w:rFonts w:ascii="Arial" w:hAnsi="Arial" w:cs="Arial"/>
          <w:sz w:val="20"/>
        </w:rPr>
        <w:t>2015</w:t>
      </w:r>
      <w:r w:rsidR="009A0AB5">
        <w:rPr>
          <w:rFonts w:ascii="Arial" w:hAnsi="Arial" w:cs="Arial"/>
          <w:sz w:val="20"/>
        </w:rPr>
        <w:fldChar w:fldCharType="end"/>
      </w:r>
      <w:r w:rsidR="009B0CA9" w:rsidRPr="00DE2EA2">
        <w:rPr>
          <w:rFonts w:ascii="Arial" w:hAnsi="Arial" w:cs="Arial"/>
          <w:sz w:val="20"/>
        </w:rPr>
        <w:t>, amounts to $</w:t>
      </w:r>
      <w:r w:rsidR="007C5CB1">
        <w:rPr>
          <w:rFonts w:ascii="Arial" w:hAnsi="Arial" w:cs="Arial"/>
          <w:sz w:val="20"/>
        </w:rPr>
        <w:t>5,523,362</w:t>
      </w:r>
      <w:r w:rsidR="00221BC5" w:rsidRPr="00DE2EA2">
        <w:rPr>
          <w:rFonts w:ascii="Arial" w:hAnsi="Arial" w:cs="Arial"/>
          <w:sz w:val="20"/>
        </w:rPr>
        <w:t xml:space="preserve"> </w:t>
      </w:r>
      <w:r w:rsidR="001E1298" w:rsidRPr="00DE2EA2">
        <w:rPr>
          <w:rFonts w:ascii="Arial" w:hAnsi="Arial" w:cs="Arial"/>
          <w:sz w:val="20"/>
        </w:rPr>
        <w:t>(net</w:t>
      </w:r>
      <w:r w:rsidR="00BF6D01" w:rsidRPr="00DE2EA2">
        <w:rPr>
          <w:rFonts w:ascii="Arial" w:hAnsi="Arial" w:cs="Arial"/>
          <w:sz w:val="20"/>
        </w:rPr>
        <w:t xml:space="preserve"> of accumulated depreciation). </w:t>
      </w:r>
      <w:r w:rsidR="001E1298" w:rsidRPr="00DE2EA2">
        <w:rPr>
          <w:rFonts w:ascii="Arial" w:hAnsi="Arial" w:cs="Arial"/>
          <w:sz w:val="20"/>
        </w:rPr>
        <w:t xml:space="preserve">This investment in capital assets includes land, buildings and improvements, </w:t>
      </w:r>
      <w:r w:rsidR="00FC133F" w:rsidRPr="00DE2EA2">
        <w:rPr>
          <w:rFonts w:ascii="Arial" w:hAnsi="Arial" w:cs="Arial"/>
          <w:sz w:val="20"/>
        </w:rPr>
        <w:t>and furniture and equipment</w:t>
      </w:r>
      <w:r w:rsidR="001E1298" w:rsidRPr="00DE2EA2">
        <w:rPr>
          <w:rFonts w:ascii="Arial" w:hAnsi="Arial" w:cs="Arial"/>
          <w:sz w:val="20"/>
        </w:rPr>
        <w:t>.</w:t>
      </w:r>
    </w:p>
    <w:p w:rsidR="00BD5D6B" w:rsidRDefault="00BD5D6B">
      <w:pPr>
        <w:jc w:val="both"/>
        <w:rPr>
          <w:rFonts w:ascii="Arial" w:hAnsi="Arial" w:cs="Arial"/>
          <w:sz w:val="20"/>
        </w:rPr>
      </w:pPr>
    </w:p>
    <w:p w:rsidR="00BD5D6B" w:rsidRPr="00120D8B" w:rsidRDefault="00BD5D6B">
      <w:pPr>
        <w:jc w:val="both"/>
        <w:rPr>
          <w:rFonts w:ascii="Arial" w:hAnsi="Arial" w:cs="Arial"/>
          <w:sz w:val="20"/>
        </w:rPr>
      </w:pPr>
      <w:r>
        <w:rPr>
          <w:rFonts w:ascii="Arial" w:hAnsi="Arial" w:cs="Arial"/>
          <w:sz w:val="20"/>
        </w:rPr>
        <w:t>Major capital asset acquisitions during the year consisted of</w:t>
      </w:r>
      <w:r w:rsidR="007C5CB1">
        <w:rPr>
          <w:rFonts w:ascii="Arial" w:hAnsi="Arial" w:cs="Arial"/>
          <w:sz w:val="20"/>
        </w:rPr>
        <w:t xml:space="preserve"> the completion of the remo</w:t>
      </w:r>
      <w:r w:rsidR="0001649D">
        <w:rPr>
          <w:rFonts w:ascii="Arial" w:hAnsi="Arial" w:cs="Arial"/>
          <w:sz w:val="20"/>
        </w:rPr>
        <w:t xml:space="preserve">del to the gym locker rooms, </w:t>
      </w:r>
      <w:r w:rsidR="007C5CB1">
        <w:rPr>
          <w:rFonts w:ascii="Arial" w:hAnsi="Arial" w:cs="Arial"/>
          <w:sz w:val="20"/>
        </w:rPr>
        <w:t>the start of the District’s network infrastructure</w:t>
      </w:r>
      <w:r w:rsidR="0001649D">
        <w:rPr>
          <w:rFonts w:ascii="Arial" w:hAnsi="Arial" w:cs="Arial"/>
          <w:sz w:val="20"/>
        </w:rPr>
        <w:t>, and purchase of two buses</w:t>
      </w:r>
      <w:r w:rsidR="007C5CB1">
        <w:rPr>
          <w:rFonts w:ascii="Arial" w:hAnsi="Arial" w:cs="Arial"/>
          <w:sz w:val="20"/>
        </w:rPr>
        <w:t>.</w:t>
      </w:r>
    </w:p>
    <w:p w:rsidR="001E1298" w:rsidRPr="00120D8B" w:rsidRDefault="001E1298">
      <w:pPr>
        <w:jc w:val="both"/>
        <w:rPr>
          <w:rFonts w:ascii="Arial" w:hAnsi="Arial" w:cs="Arial"/>
          <w:sz w:val="20"/>
        </w:rPr>
      </w:pPr>
    </w:p>
    <w:bookmarkStart w:id="33" w:name="_MON_1248175441"/>
    <w:bookmarkStart w:id="34" w:name="_MON_1286967481"/>
    <w:bookmarkStart w:id="35" w:name="_MON_1286967503"/>
    <w:bookmarkStart w:id="36" w:name="_MON_1286967511"/>
    <w:bookmarkStart w:id="37" w:name="_MON_1316593854"/>
    <w:bookmarkStart w:id="38" w:name="_MON_1316851895"/>
    <w:bookmarkStart w:id="39" w:name="_MON_1334992893"/>
    <w:bookmarkStart w:id="40" w:name="_MON_1334992911"/>
    <w:bookmarkStart w:id="41" w:name="_MON_1348574941"/>
    <w:bookmarkStart w:id="42" w:name="_MON_1349245305"/>
    <w:bookmarkStart w:id="43" w:name="_MON_1350888711"/>
    <w:bookmarkStart w:id="44" w:name="_MON_1366179902"/>
    <w:bookmarkStart w:id="45" w:name="_MON_1381064005"/>
    <w:bookmarkStart w:id="46" w:name="_MON_1381064037"/>
    <w:bookmarkStart w:id="47" w:name="_MON_1463294678"/>
    <w:bookmarkStart w:id="48" w:name="_MON_1158133761"/>
    <w:bookmarkStart w:id="49" w:name="_MON_1158133771"/>
    <w:bookmarkStart w:id="50" w:name="_MON_1158133782"/>
    <w:bookmarkStart w:id="51" w:name="_MON_1158136016"/>
    <w:bookmarkStart w:id="52" w:name="_MON_1158136055"/>
    <w:bookmarkStart w:id="53" w:name="_MON_1158136089"/>
    <w:bookmarkStart w:id="54" w:name="_MON_1158393215"/>
    <w:bookmarkStart w:id="55" w:name="_MON_1160884277"/>
    <w:bookmarkStart w:id="56" w:name="_MON_1160884826"/>
    <w:bookmarkStart w:id="57" w:name="_MON_1163507984"/>
    <w:bookmarkStart w:id="58" w:name="_MON_1164079781"/>
    <w:bookmarkStart w:id="59" w:name="_MON_1177403965"/>
    <w:bookmarkStart w:id="60" w:name="_MON_1197972043"/>
    <w:bookmarkStart w:id="61" w:name="_MON_122638714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Start w:id="62" w:name="_MON_1227499458"/>
    <w:bookmarkEnd w:id="62"/>
    <w:p w:rsidR="001E1298" w:rsidRPr="001533F7" w:rsidRDefault="007C5CB1" w:rsidP="00BF6D01">
      <w:pPr>
        <w:jc w:val="center"/>
        <w:rPr>
          <w:rFonts w:ascii="Arial" w:hAnsi="Arial" w:cs="Arial"/>
          <w:sz w:val="20"/>
        </w:rPr>
      </w:pPr>
      <w:r w:rsidRPr="001533F7">
        <w:rPr>
          <w:rFonts w:ascii="Arial" w:hAnsi="Arial" w:cs="Arial"/>
          <w:sz w:val="20"/>
        </w:rPr>
        <w:object w:dxaOrig="8088" w:dyaOrig="2214">
          <v:shape id="_x0000_i1026" type="#_x0000_t75" style="width:384.45pt;height:106.15pt" o:ole="">
            <v:imagedata r:id="rId15" o:title=""/>
          </v:shape>
          <o:OLEObject Type="Embed" ProgID="Excel.Sheet.12" ShapeID="_x0000_i1026" DrawAspect="Content" ObjectID="_1508929526" r:id="rId16"/>
        </w:object>
      </w:r>
    </w:p>
    <w:p w:rsidR="001E1298" w:rsidRPr="001533F7" w:rsidRDefault="001E1298">
      <w:pPr>
        <w:pStyle w:val="BodyText"/>
        <w:jc w:val="both"/>
        <w:rPr>
          <w:rFonts w:ascii="Arial" w:hAnsi="Arial" w:cs="Arial"/>
          <w:sz w:val="20"/>
        </w:rPr>
      </w:pPr>
      <w:r w:rsidRPr="001533F7">
        <w:rPr>
          <w:rFonts w:ascii="Arial" w:hAnsi="Arial" w:cs="Arial"/>
          <w:sz w:val="20"/>
        </w:rPr>
        <w:t>Additional information on the District’s capital assets c</w:t>
      </w:r>
      <w:r w:rsidR="00066FA8" w:rsidRPr="001533F7">
        <w:rPr>
          <w:rFonts w:ascii="Arial" w:hAnsi="Arial" w:cs="Arial"/>
          <w:sz w:val="20"/>
        </w:rPr>
        <w:t xml:space="preserve">an be found in Note </w:t>
      </w:r>
      <w:r w:rsidR="00B17A00" w:rsidRPr="001533F7">
        <w:rPr>
          <w:rFonts w:ascii="Arial" w:hAnsi="Arial" w:cs="Arial"/>
          <w:sz w:val="20"/>
        </w:rPr>
        <w:t>C</w:t>
      </w:r>
      <w:r w:rsidR="00066FA8" w:rsidRPr="001533F7">
        <w:rPr>
          <w:rFonts w:ascii="Arial" w:hAnsi="Arial" w:cs="Arial"/>
          <w:sz w:val="20"/>
        </w:rPr>
        <w:t xml:space="preserve"> on page</w:t>
      </w:r>
      <w:r w:rsidR="007C5CB1" w:rsidRPr="001533F7">
        <w:rPr>
          <w:rFonts w:ascii="Arial" w:hAnsi="Arial" w:cs="Arial"/>
          <w:sz w:val="20"/>
        </w:rPr>
        <w:t xml:space="preserve"> 26</w:t>
      </w:r>
      <w:r w:rsidR="00066FA8" w:rsidRPr="001533F7">
        <w:rPr>
          <w:rFonts w:ascii="Arial" w:hAnsi="Arial" w:cs="Arial"/>
          <w:sz w:val="20"/>
        </w:rPr>
        <w:t xml:space="preserve"> </w:t>
      </w:r>
      <w:r w:rsidRPr="001533F7">
        <w:rPr>
          <w:rFonts w:ascii="Arial" w:hAnsi="Arial" w:cs="Arial"/>
          <w:sz w:val="20"/>
        </w:rPr>
        <w:t>of this report.</w:t>
      </w:r>
    </w:p>
    <w:p w:rsidR="001E1298" w:rsidRPr="001533F7" w:rsidRDefault="001E1298">
      <w:pPr>
        <w:jc w:val="both"/>
        <w:rPr>
          <w:rFonts w:ascii="Arial" w:hAnsi="Arial" w:cs="Arial"/>
          <w:sz w:val="20"/>
        </w:rPr>
      </w:pPr>
    </w:p>
    <w:p w:rsidR="001E1298" w:rsidRPr="001533F7" w:rsidRDefault="0001649D">
      <w:pPr>
        <w:jc w:val="both"/>
        <w:rPr>
          <w:rFonts w:ascii="Arial" w:hAnsi="Arial" w:cs="Arial"/>
          <w:sz w:val="20"/>
        </w:rPr>
      </w:pPr>
      <w:r w:rsidRPr="001533F7">
        <w:rPr>
          <w:rFonts w:ascii="Arial" w:hAnsi="Arial" w:cs="Arial"/>
          <w:b/>
          <w:noProof/>
          <w:sz w:val="20"/>
        </w:rPr>
        <mc:AlternateContent>
          <mc:Choice Requires="wps">
            <w:drawing>
              <wp:anchor distT="91440" distB="91440" distL="114300" distR="114300" simplePos="0" relativeHeight="251657216" behindDoc="0" locked="0" layoutInCell="0" allowOverlap="1" wp14:anchorId="6273590C" wp14:editId="7E2C13FF">
                <wp:simplePos x="0" y="0"/>
                <wp:positionH relativeFrom="margin">
                  <wp:posOffset>3584575</wp:posOffset>
                </wp:positionH>
                <wp:positionV relativeFrom="margin">
                  <wp:posOffset>2985135</wp:posOffset>
                </wp:positionV>
                <wp:extent cx="2531745" cy="1924685"/>
                <wp:effectExtent l="0" t="0" r="20955" b="18415"/>
                <wp:wrapSquare wrapText="bothSides"/>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745" cy="1924685"/>
                        </a:xfrm>
                        <a:prstGeom prst="foldedCorner">
                          <a:avLst>
                            <a:gd name="adj" fmla="val 12500"/>
                          </a:avLst>
                        </a:prstGeom>
                        <a:solidFill>
                          <a:srgbClr val="FFFF00">
                            <a:alpha val="30000"/>
                          </a:srgbClr>
                        </a:solidFill>
                        <a:ln w="6350">
                          <a:solidFill>
                            <a:srgbClr val="969696"/>
                          </a:solidFill>
                          <a:round/>
                          <a:headEnd/>
                          <a:tailEnd/>
                        </a:ln>
                      </wps:spPr>
                      <wps:txbx>
                        <w:txbxContent>
                          <w:p w:rsidR="009460F4" w:rsidRPr="00B4456F" w:rsidRDefault="009460F4" w:rsidP="00832942">
                            <w:pPr>
                              <w:rPr>
                                <w:rFonts w:ascii="Cambria" w:hAnsi="Cambria"/>
                                <w:i/>
                                <w:iCs/>
                                <w:color w:val="FFFFFF"/>
                                <w:sz w:val="24"/>
                                <w:szCs w:val="24"/>
                              </w:rPr>
                            </w:pPr>
                            <w:r w:rsidRPr="000F75B4">
                              <w:rPr>
                                <w:rFonts w:ascii="Arial" w:hAnsi="Arial" w:cs="Arial"/>
                                <w:sz w:val="20"/>
                              </w:rPr>
                              <w:t xml:space="preserve">The District’s bonds are rated </w:t>
                            </w:r>
                            <w:r w:rsidR="000F0689">
                              <w:rPr>
                                <w:rFonts w:ascii="Arial" w:hAnsi="Arial" w:cs="Arial"/>
                                <w:sz w:val="20"/>
                                <w:highlight w:val="yellow"/>
                              </w:rPr>
                              <w:t>“AAA</w:t>
                            </w:r>
                            <w:r w:rsidRPr="0061421A">
                              <w:rPr>
                                <w:rFonts w:ascii="Arial" w:hAnsi="Arial" w:cs="Arial"/>
                                <w:sz w:val="20"/>
                                <w:highlight w:val="yellow"/>
                              </w:rPr>
                              <w:t>”</w:t>
                            </w:r>
                            <w:r w:rsidRPr="000F75B4">
                              <w:rPr>
                                <w:rFonts w:ascii="Arial" w:hAnsi="Arial" w:cs="Arial"/>
                                <w:sz w:val="20"/>
                              </w:rPr>
                              <w:t xml:space="preserve"> by virtue of the guarantee of the Permanent School Fund of the State of Texas.</w:t>
                            </w:r>
                            <w:r w:rsidR="00550D17">
                              <w:rPr>
                                <w:rFonts w:ascii="Arial" w:hAnsi="Arial" w:cs="Arial"/>
                                <w:sz w:val="20"/>
                              </w:rPr>
                              <w:t xml:space="preserve"> </w:t>
                            </w:r>
                            <w:r w:rsidRPr="000F75B4">
                              <w:rPr>
                                <w:rFonts w:ascii="Arial" w:hAnsi="Arial" w:cs="Arial"/>
                                <w:sz w:val="20"/>
                              </w:rPr>
                              <w:t xml:space="preserve">The uninsured tax supported debt of the District is rated </w:t>
                            </w:r>
                            <w:r w:rsidRPr="0061421A">
                              <w:rPr>
                                <w:rFonts w:ascii="Arial" w:hAnsi="Arial" w:cs="Arial"/>
                                <w:sz w:val="20"/>
                                <w:highlight w:val="yellow"/>
                              </w:rPr>
                              <w:t>“</w:t>
                            </w:r>
                            <w:r w:rsidR="000F0689">
                              <w:rPr>
                                <w:rFonts w:ascii="Arial" w:hAnsi="Arial" w:cs="Arial"/>
                                <w:sz w:val="20"/>
                                <w:highlight w:val="yellow"/>
                              </w:rPr>
                              <w:t>Not Rated</w:t>
                            </w:r>
                            <w:r w:rsidRPr="0061421A">
                              <w:rPr>
                                <w:rFonts w:ascii="Arial" w:hAnsi="Arial" w:cs="Arial"/>
                                <w:sz w:val="20"/>
                                <w:highlight w:val="yellow"/>
                              </w:rPr>
                              <w:t xml:space="preserve">” </w:t>
                            </w:r>
                            <w:r w:rsidRPr="000F75B4">
                              <w:rPr>
                                <w:rFonts w:ascii="Arial" w:hAnsi="Arial" w:cs="Arial"/>
                                <w:sz w:val="20"/>
                              </w:rPr>
                              <w:t>by Moody’s.</w:t>
                            </w:r>
                            <w:r w:rsidR="00550D17">
                              <w:rPr>
                                <w:rFonts w:ascii="Arial" w:hAnsi="Arial" w:cs="Arial"/>
                                <w:sz w:val="20"/>
                              </w:rPr>
                              <w:t xml:space="preserve"> </w:t>
                            </w:r>
                            <w:r w:rsidRPr="000F75B4">
                              <w:rPr>
                                <w:rFonts w:ascii="Arial" w:hAnsi="Arial" w:cs="Arial"/>
                                <w:sz w:val="20"/>
                              </w:rPr>
                              <w:t>The district also has one other issue outstanding which is rated</w:t>
                            </w:r>
                            <w:r w:rsidRPr="0061421A">
                              <w:rPr>
                                <w:rFonts w:ascii="Arial" w:hAnsi="Arial" w:cs="Arial"/>
                                <w:sz w:val="20"/>
                                <w:highlight w:val="yellow"/>
                              </w:rPr>
                              <w:t xml:space="preserve"> “</w:t>
                            </w:r>
                            <w:r w:rsidR="000F0689">
                              <w:rPr>
                                <w:rFonts w:ascii="Arial" w:hAnsi="Arial" w:cs="Arial"/>
                                <w:sz w:val="20"/>
                                <w:highlight w:val="yellow"/>
                              </w:rPr>
                              <w:t>Not Rated</w:t>
                            </w:r>
                            <w:r w:rsidRPr="0061421A">
                              <w:rPr>
                                <w:rFonts w:ascii="Arial" w:hAnsi="Arial" w:cs="Arial"/>
                                <w:sz w:val="20"/>
                                <w:highlight w:val="yellow"/>
                              </w:rPr>
                              <w:t xml:space="preserve">” </w:t>
                            </w:r>
                            <w:r w:rsidRPr="000F75B4">
                              <w:rPr>
                                <w:rFonts w:ascii="Arial" w:hAnsi="Arial" w:cs="Arial"/>
                                <w:sz w:val="20"/>
                              </w:rPr>
                              <w:t>by Moody’s by virtue of the guarantee</w:t>
                            </w:r>
                            <w:r w:rsidRPr="00B4456F">
                              <w:rPr>
                                <w:rFonts w:ascii="Arial" w:hAnsi="Arial" w:cs="Arial"/>
                                <w:sz w:val="20"/>
                              </w:rPr>
                              <w:t xml:space="preserve"> of the Permanent School Fund of the State of Texas.</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 o:spid="_x0000_s1026" type="#_x0000_t65" style="position:absolute;left:0;text-align:left;margin-left:282.25pt;margin-top:235.05pt;width:199.35pt;height:151.55pt;z-index:2516572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" o:allowincell="f" fillcolor="yellow" strokecolor="#969696" strokeweight=".5pt">
                <v:fill opacity="19789f"/>
                <v:textbox inset="10.8pt,7.2pt,10.8pt">
                  <w:txbxContent>
                    <w:p w:rsidR="009460F4" w:rsidRPr="00B4456F" w:rsidRDefault="009460F4" w:rsidP="00832942">
                      <w:pPr>
                        <w:rPr>
                          <w:rFonts w:ascii="Cambria" w:hAnsi="Cambria"/>
                          <w:i/>
                          <w:iCs/>
                          <w:color w:val="FFFFFF"/>
                          <w:sz w:val="24"/>
                          <w:szCs w:val="24"/>
                        </w:rPr>
                      </w:pPr>
                      <w:r w:rsidRPr="000F75B4">
                        <w:rPr>
                          <w:rFonts w:ascii="Arial" w:hAnsi="Arial" w:cs="Arial"/>
                          <w:sz w:val="20"/>
                        </w:rPr>
                        <w:t xml:space="preserve">The District’s bonds are rated </w:t>
                      </w:r>
                      <w:r w:rsidR="000F0689">
                        <w:rPr>
                          <w:rFonts w:ascii="Arial" w:hAnsi="Arial" w:cs="Arial"/>
                          <w:sz w:val="20"/>
                          <w:highlight w:val="yellow"/>
                        </w:rPr>
                        <w:t>“AAA</w:t>
                      </w:r>
                      <w:r w:rsidRPr="0061421A">
                        <w:rPr>
                          <w:rFonts w:ascii="Arial" w:hAnsi="Arial" w:cs="Arial"/>
                          <w:sz w:val="20"/>
                          <w:highlight w:val="yellow"/>
                        </w:rPr>
                        <w:t>”</w:t>
                      </w:r>
                      <w:r w:rsidRPr="000F75B4">
                        <w:rPr>
                          <w:rFonts w:ascii="Arial" w:hAnsi="Arial" w:cs="Arial"/>
                          <w:sz w:val="20"/>
                        </w:rPr>
                        <w:t xml:space="preserve"> by virtue of the guarantee of the Permanent School Fund of the State of Texas.</w:t>
                      </w:r>
                      <w:r w:rsidR="00550D17">
                        <w:rPr>
                          <w:rFonts w:ascii="Arial" w:hAnsi="Arial" w:cs="Arial"/>
                          <w:sz w:val="20"/>
                        </w:rPr>
                        <w:t xml:space="preserve"> </w:t>
                      </w:r>
                      <w:r w:rsidRPr="000F75B4">
                        <w:rPr>
                          <w:rFonts w:ascii="Arial" w:hAnsi="Arial" w:cs="Arial"/>
                          <w:sz w:val="20"/>
                        </w:rPr>
                        <w:t xml:space="preserve">The uninsured tax supported debt of the District is rated </w:t>
                      </w:r>
                      <w:r w:rsidRPr="0061421A">
                        <w:rPr>
                          <w:rFonts w:ascii="Arial" w:hAnsi="Arial" w:cs="Arial"/>
                          <w:sz w:val="20"/>
                          <w:highlight w:val="yellow"/>
                        </w:rPr>
                        <w:t>“</w:t>
                      </w:r>
                      <w:r w:rsidR="000F0689">
                        <w:rPr>
                          <w:rFonts w:ascii="Arial" w:hAnsi="Arial" w:cs="Arial"/>
                          <w:sz w:val="20"/>
                          <w:highlight w:val="yellow"/>
                        </w:rPr>
                        <w:t>Not Rated</w:t>
                      </w:r>
                      <w:r w:rsidRPr="0061421A">
                        <w:rPr>
                          <w:rFonts w:ascii="Arial" w:hAnsi="Arial" w:cs="Arial"/>
                          <w:sz w:val="20"/>
                          <w:highlight w:val="yellow"/>
                        </w:rPr>
                        <w:t xml:space="preserve">” </w:t>
                      </w:r>
                      <w:r w:rsidRPr="000F75B4">
                        <w:rPr>
                          <w:rFonts w:ascii="Arial" w:hAnsi="Arial" w:cs="Arial"/>
                          <w:sz w:val="20"/>
                        </w:rPr>
                        <w:t>by Moody’s.</w:t>
                      </w:r>
                      <w:r w:rsidR="00550D17">
                        <w:rPr>
                          <w:rFonts w:ascii="Arial" w:hAnsi="Arial" w:cs="Arial"/>
                          <w:sz w:val="20"/>
                        </w:rPr>
                        <w:t xml:space="preserve"> </w:t>
                      </w:r>
                      <w:r w:rsidRPr="000F75B4">
                        <w:rPr>
                          <w:rFonts w:ascii="Arial" w:hAnsi="Arial" w:cs="Arial"/>
                          <w:sz w:val="20"/>
                        </w:rPr>
                        <w:t>The district also has one other issue outstanding which is rated</w:t>
                      </w:r>
                      <w:r w:rsidRPr="0061421A">
                        <w:rPr>
                          <w:rFonts w:ascii="Arial" w:hAnsi="Arial" w:cs="Arial"/>
                          <w:sz w:val="20"/>
                          <w:highlight w:val="yellow"/>
                        </w:rPr>
                        <w:t xml:space="preserve"> “</w:t>
                      </w:r>
                      <w:r w:rsidR="000F0689">
                        <w:rPr>
                          <w:rFonts w:ascii="Arial" w:hAnsi="Arial" w:cs="Arial"/>
                          <w:sz w:val="20"/>
                          <w:highlight w:val="yellow"/>
                        </w:rPr>
                        <w:t>Not Rated</w:t>
                      </w:r>
                      <w:r w:rsidRPr="0061421A">
                        <w:rPr>
                          <w:rFonts w:ascii="Arial" w:hAnsi="Arial" w:cs="Arial"/>
                          <w:sz w:val="20"/>
                          <w:highlight w:val="yellow"/>
                        </w:rPr>
                        <w:t xml:space="preserve">” </w:t>
                      </w:r>
                      <w:r w:rsidRPr="000F75B4">
                        <w:rPr>
                          <w:rFonts w:ascii="Arial" w:hAnsi="Arial" w:cs="Arial"/>
                          <w:sz w:val="20"/>
                        </w:rPr>
                        <w:t>by Moody’s by virtue of the guarantee</w:t>
                      </w:r>
                      <w:r w:rsidRPr="00B4456F">
                        <w:rPr>
                          <w:rFonts w:ascii="Arial" w:hAnsi="Arial" w:cs="Arial"/>
                          <w:sz w:val="20"/>
                        </w:rPr>
                        <w:t xml:space="preserve"> of the Permanent School Fund of the State of Texas.</w:t>
                      </w:r>
                    </w:p>
                  </w:txbxContent>
                </v:textbox>
                <w10:wrap type="square" anchorx="margin" anchory="margin"/>
              </v:shape>
            </w:pict>
          </mc:Fallback>
        </mc:AlternateContent>
      </w:r>
      <w:proofErr w:type="gramStart"/>
      <w:r w:rsidR="001E1298" w:rsidRPr="001533F7">
        <w:rPr>
          <w:rFonts w:ascii="Arial" w:hAnsi="Arial" w:cs="Arial"/>
          <w:b/>
          <w:sz w:val="20"/>
        </w:rPr>
        <w:t>Long-term debt.</w:t>
      </w:r>
      <w:proofErr w:type="gramEnd"/>
      <w:r w:rsidR="00550D17" w:rsidRPr="001533F7">
        <w:rPr>
          <w:rFonts w:ascii="Arial" w:hAnsi="Arial" w:cs="Arial"/>
          <w:sz w:val="20"/>
        </w:rPr>
        <w:t xml:space="preserve"> </w:t>
      </w:r>
      <w:r w:rsidR="009B0CA9" w:rsidRPr="001533F7">
        <w:rPr>
          <w:rFonts w:ascii="Arial" w:hAnsi="Arial" w:cs="Arial"/>
          <w:sz w:val="20"/>
        </w:rPr>
        <w:t xml:space="preserve">As of August 31, </w:t>
      </w:r>
      <w:r w:rsidR="009A0AB5" w:rsidRPr="001533F7">
        <w:rPr>
          <w:rFonts w:ascii="Arial" w:hAnsi="Arial" w:cs="Arial"/>
          <w:sz w:val="20"/>
        </w:rPr>
        <w:fldChar w:fldCharType="begin"/>
      </w:r>
      <w:r w:rsidR="009A0AB5" w:rsidRPr="001533F7">
        <w:rPr>
          <w:rFonts w:ascii="Arial" w:hAnsi="Arial" w:cs="Arial"/>
          <w:sz w:val="20"/>
        </w:rPr>
        <w:instrText xml:space="preserve"> DOCVARIABLE Date@Engagement©Date@Amount@Report@[CP]@C@All@All@@@@@\@ "yyyy" \* MERGEFORMAT </w:instrText>
      </w:r>
      <w:r w:rsidR="009A0AB5" w:rsidRPr="001533F7">
        <w:rPr>
          <w:rFonts w:ascii="Arial" w:hAnsi="Arial" w:cs="Arial"/>
          <w:sz w:val="20"/>
        </w:rPr>
        <w:fldChar w:fldCharType="separate"/>
      </w:r>
      <w:r w:rsidR="00943950" w:rsidRPr="001533F7">
        <w:rPr>
          <w:rFonts w:ascii="Arial" w:hAnsi="Arial" w:cs="Arial"/>
          <w:sz w:val="20"/>
        </w:rPr>
        <w:t>2015</w:t>
      </w:r>
      <w:r w:rsidR="009A0AB5" w:rsidRPr="001533F7">
        <w:rPr>
          <w:rFonts w:ascii="Arial" w:hAnsi="Arial" w:cs="Arial"/>
          <w:sz w:val="20"/>
        </w:rPr>
        <w:fldChar w:fldCharType="end"/>
      </w:r>
      <w:r w:rsidR="001E1298" w:rsidRPr="001533F7">
        <w:rPr>
          <w:rFonts w:ascii="Arial" w:hAnsi="Arial" w:cs="Arial"/>
          <w:sz w:val="20"/>
        </w:rPr>
        <w:t>, the District had total general obligation bonde</w:t>
      </w:r>
      <w:r w:rsidR="009B0CA9" w:rsidRPr="001533F7">
        <w:rPr>
          <w:rFonts w:ascii="Arial" w:hAnsi="Arial" w:cs="Arial"/>
          <w:sz w:val="20"/>
        </w:rPr>
        <w:t>d debt outstanding of $</w:t>
      </w:r>
      <w:r w:rsidR="007C5CB1" w:rsidRPr="001533F7">
        <w:rPr>
          <w:rFonts w:ascii="Arial" w:hAnsi="Arial" w:cs="Arial"/>
          <w:sz w:val="20"/>
        </w:rPr>
        <w:t>950,000</w:t>
      </w:r>
      <w:r w:rsidR="00066FA8" w:rsidRPr="001533F7">
        <w:rPr>
          <w:rFonts w:ascii="Arial" w:hAnsi="Arial" w:cs="Arial"/>
          <w:sz w:val="20"/>
        </w:rPr>
        <w:t>, a decr</w:t>
      </w:r>
      <w:r w:rsidR="009B0CA9" w:rsidRPr="001533F7">
        <w:rPr>
          <w:rFonts w:ascii="Arial" w:hAnsi="Arial" w:cs="Arial"/>
          <w:sz w:val="20"/>
        </w:rPr>
        <w:t>ease of $</w:t>
      </w:r>
      <w:r w:rsidR="007C5CB1" w:rsidRPr="001533F7">
        <w:rPr>
          <w:rFonts w:ascii="Arial" w:hAnsi="Arial" w:cs="Arial"/>
          <w:sz w:val="20"/>
        </w:rPr>
        <w:t>295,000</w:t>
      </w:r>
      <w:r w:rsidR="001E1298" w:rsidRPr="001533F7">
        <w:rPr>
          <w:rFonts w:ascii="Arial" w:hAnsi="Arial" w:cs="Arial"/>
          <w:sz w:val="20"/>
        </w:rPr>
        <w:t xml:space="preserve"> over th</w:t>
      </w:r>
      <w:r w:rsidR="00FA02B0" w:rsidRPr="001533F7">
        <w:rPr>
          <w:rFonts w:ascii="Arial" w:hAnsi="Arial" w:cs="Arial"/>
          <w:sz w:val="20"/>
        </w:rPr>
        <w:t xml:space="preserve">e prior year. </w:t>
      </w:r>
      <w:r w:rsidR="009A3F7F" w:rsidRPr="001533F7">
        <w:rPr>
          <w:rFonts w:ascii="Arial" w:hAnsi="Arial" w:cs="Arial"/>
          <w:sz w:val="20"/>
        </w:rPr>
        <w:t>The District’s amortization on bond premium</w:t>
      </w:r>
      <w:r w:rsidR="007D0C2A" w:rsidRPr="001533F7">
        <w:rPr>
          <w:rFonts w:ascii="Arial" w:hAnsi="Arial" w:cs="Arial"/>
          <w:sz w:val="20"/>
        </w:rPr>
        <w:t>s</w:t>
      </w:r>
      <w:r w:rsidR="009A3F7F" w:rsidRPr="001533F7">
        <w:rPr>
          <w:rFonts w:ascii="Arial" w:hAnsi="Arial" w:cs="Arial"/>
          <w:sz w:val="20"/>
        </w:rPr>
        <w:t xml:space="preserve"> was $</w:t>
      </w:r>
      <w:r w:rsidR="007C5CB1" w:rsidRPr="001533F7">
        <w:rPr>
          <w:rFonts w:ascii="Arial" w:hAnsi="Arial" w:cs="Arial"/>
          <w:sz w:val="20"/>
        </w:rPr>
        <w:t>9,754</w:t>
      </w:r>
      <w:r w:rsidR="009A3F7F" w:rsidRPr="001533F7">
        <w:rPr>
          <w:rFonts w:ascii="Arial" w:hAnsi="Arial" w:cs="Arial"/>
          <w:sz w:val="20"/>
        </w:rPr>
        <w:t>, resulting in an ending balance of $</w:t>
      </w:r>
      <w:r w:rsidR="007C5CB1" w:rsidRPr="001533F7">
        <w:rPr>
          <w:rFonts w:ascii="Arial" w:hAnsi="Arial" w:cs="Arial"/>
          <w:sz w:val="20"/>
        </w:rPr>
        <w:t>24,382</w:t>
      </w:r>
      <w:r w:rsidR="009A3F7F" w:rsidRPr="001533F7">
        <w:rPr>
          <w:rFonts w:ascii="Arial" w:hAnsi="Arial" w:cs="Arial"/>
          <w:sz w:val="20"/>
        </w:rPr>
        <w:t xml:space="preserve">. </w:t>
      </w:r>
      <w:r w:rsidR="00BF6D01" w:rsidRPr="001533F7">
        <w:rPr>
          <w:rFonts w:ascii="Arial" w:hAnsi="Arial" w:cs="Arial"/>
          <w:sz w:val="20"/>
        </w:rPr>
        <w:t>The District</w:t>
      </w:r>
      <w:r w:rsidR="00F46A1C" w:rsidRPr="001533F7">
        <w:rPr>
          <w:rFonts w:ascii="Arial" w:hAnsi="Arial" w:cs="Arial"/>
          <w:sz w:val="20"/>
        </w:rPr>
        <w:t>’s</w:t>
      </w:r>
      <w:r w:rsidR="00BF6D01" w:rsidRPr="001533F7">
        <w:rPr>
          <w:rFonts w:ascii="Arial" w:hAnsi="Arial" w:cs="Arial"/>
          <w:sz w:val="20"/>
        </w:rPr>
        <w:t xml:space="preserve"> capital leases</w:t>
      </w:r>
      <w:r w:rsidR="00BF6D01" w:rsidRPr="001533F7">
        <w:rPr>
          <w:rFonts w:ascii="Arial" w:hAnsi="Arial" w:cs="Arial"/>
          <w:sz w:val="21"/>
          <w:szCs w:val="21"/>
        </w:rPr>
        <w:t xml:space="preserve"> </w:t>
      </w:r>
      <w:r w:rsidR="00BF6D01" w:rsidRPr="001533F7">
        <w:rPr>
          <w:rFonts w:ascii="Arial" w:hAnsi="Arial" w:cs="Arial"/>
          <w:sz w:val="20"/>
          <w:szCs w:val="21"/>
        </w:rPr>
        <w:t xml:space="preserve">outstanding </w:t>
      </w:r>
      <w:r w:rsidR="007C5CB1" w:rsidRPr="001533F7">
        <w:rPr>
          <w:rFonts w:ascii="Arial" w:hAnsi="Arial" w:cs="Arial"/>
          <w:sz w:val="20"/>
          <w:szCs w:val="21"/>
        </w:rPr>
        <w:t>de</w:t>
      </w:r>
      <w:r w:rsidR="00DE2EA2" w:rsidRPr="001533F7">
        <w:rPr>
          <w:rFonts w:ascii="Arial" w:hAnsi="Arial" w:cs="Arial"/>
          <w:sz w:val="20"/>
          <w:szCs w:val="21"/>
        </w:rPr>
        <w:t xml:space="preserve">creased </w:t>
      </w:r>
      <w:r w:rsidR="00BF6D01" w:rsidRPr="001533F7">
        <w:rPr>
          <w:rFonts w:ascii="Arial" w:hAnsi="Arial" w:cs="Arial"/>
          <w:sz w:val="20"/>
          <w:szCs w:val="21"/>
        </w:rPr>
        <w:t>$</w:t>
      </w:r>
      <w:r w:rsidR="007C5CB1" w:rsidRPr="001533F7">
        <w:rPr>
          <w:rFonts w:ascii="Arial" w:hAnsi="Arial" w:cs="Arial"/>
          <w:sz w:val="20"/>
          <w:szCs w:val="21"/>
        </w:rPr>
        <w:t>61,024</w:t>
      </w:r>
      <w:r w:rsidR="00BF6D01" w:rsidRPr="001533F7">
        <w:rPr>
          <w:rFonts w:ascii="Arial" w:hAnsi="Arial" w:cs="Arial"/>
          <w:sz w:val="20"/>
          <w:szCs w:val="21"/>
        </w:rPr>
        <w:t>,</w:t>
      </w:r>
      <w:r w:rsidR="00F46A1C" w:rsidRPr="001533F7">
        <w:rPr>
          <w:rFonts w:ascii="Arial" w:hAnsi="Arial" w:cs="Arial"/>
          <w:sz w:val="20"/>
          <w:szCs w:val="21"/>
        </w:rPr>
        <w:t xml:space="preserve"> res</w:t>
      </w:r>
      <w:r w:rsidR="007C5CB1" w:rsidRPr="001533F7">
        <w:rPr>
          <w:rFonts w:ascii="Arial" w:hAnsi="Arial" w:cs="Arial"/>
          <w:sz w:val="20"/>
          <w:szCs w:val="21"/>
        </w:rPr>
        <w:t xml:space="preserve">ulting in </w:t>
      </w:r>
      <w:proofErr w:type="gramStart"/>
      <w:r w:rsidR="007C5CB1" w:rsidRPr="001533F7">
        <w:rPr>
          <w:rFonts w:ascii="Arial" w:hAnsi="Arial" w:cs="Arial"/>
          <w:sz w:val="20"/>
          <w:szCs w:val="21"/>
        </w:rPr>
        <w:t>an</w:t>
      </w:r>
      <w:proofErr w:type="gramEnd"/>
      <w:r w:rsidR="007C5CB1" w:rsidRPr="001533F7">
        <w:rPr>
          <w:rFonts w:ascii="Arial" w:hAnsi="Arial" w:cs="Arial"/>
          <w:sz w:val="20"/>
          <w:szCs w:val="21"/>
        </w:rPr>
        <w:t xml:space="preserve"> zero balance</w:t>
      </w:r>
      <w:r w:rsidR="009A0AB5" w:rsidRPr="001533F7">
        <w:rPr>
          <w:rFonts w:ascii="Arial" w:hAnsi="Arial" w:cs="Arial"/>
          <w:sz w:val="20"/>
        </w:rPr>
        <w:t xml:space="preserve">. </w:t>
      </w:r>
      <w:r w:rsidR="00DE2EA2" w:rsidRPr="001533F7">
        <w:rPr>
          <w:rFonts w:ascii="Arial" w:hAnsi="Arial" w:cs="Arial"/>
          <w:sz w:val="20"/>
          <w:szCs w:val="21"/>
        </w:rPr>
        <w:t>The District’s notes payable balance decreased by</w:t>
      </w:r>
      <w:r w:rsidR="007D0C2A" w:rsidRPr="001533F7">
        <w:rPr>
          <w:rFonts w:ascii="Arial" w:hAnsi="Arial" w:cs="Arial"/>
          <w:sz w:val="20"/>
          <w:szCs w:val="21"/>
        </w:rPr>
        <w:t xml:space="preserve"> $</w:t>
      </w:r>
      <w:r w:rsidR="003E5489" w:rsidRPr="001533F7">
        <w:rPr>
          <w:rFonts w:ascii="Arial" w:hAnsi="Arial" w:cs="Arial"/>
          <w:sz w:val="20"/>
          <w:szCs w:val="21"/>
        </w:rPr>
        <w:t>107,232,</w:t>
      </w:r>
      <w:r w:rsidR="00BD5D6B" w:rsidRPr="001533F7">
        <w:rPr>
          <w:rFonts w:ascii="Arial" w:hAnsi="Arial" w:cs="Arial"/>
          <w:sz w:val="20"/>
          <w:szCs w:val="21"/>
        </w:rPr>
        <w:t xml:space="preserve"> resulting in an </w:t>
      </w:r>
      <w:r w:rsidR="004646D3" w:rsidRPr="001533F7">
        <w:rPr>
          <w:rFonts w:ascii="Arial" w:hAnsi="Arial" w:cs="Arial"/>
          <w:sz w:val="20"/>
          <w:szCs w:val="21"/>
        </w:rPr>
        <w:t>outstanding</w:t>
      </w:r>
      <w:r w:rsidR="00BD5D6B" w:rsidRPr="001533F7">
        <w:rPr>
          <w:rFonts w:ascii="Arial" w:hAnsi="Arial" w:cs="Arial"/>
          <w:sz w:val="20"/>
          <w:szCs w:val="21"/>
        </w:rPr>
        <w:t xml:space="preserve"> balance of $</w:t>
      </w:r>
      <w:r w:rsidR="003E5489" w:rsidRPr="001533F7">
        <w:rPr>
          <w:rFonts w:ascii="Arial" w:hAnsi="Arial" w:cs="Arial"/>
          <w:sz w:val="20"/>
        </w:rPr>
        <w:t>460,335</w:t>
      </w:r>
      <w:r w:rsidR="004646D3" w:rsidRPr="001533F7">
        <w:rPr>
          <w:rFonts w:ascii="Arial" w:hAnsi="Arial" w:cs="Arial"/>
          <w:sz w:val="20"/>
          <w:szCs w:val="21"/>
        </w:rPr>
        <w:t>.</w:t>
      </w:r>
      <w:r w:rsidR="007D0C2A" w:rsidRPr="001533F7">
        <w:rPr>
          <w:rFonts w:ascii="Arial" w:hAnsi="Arial" w:cs="Arial"/>
          <w:sz w:val="20"/>
          <w:szCs w:val="21"/>
        </w:rPr>
        <w:t xml:space="preserve"> </w:t>
      </w:r>
      <w:r w:rsidR="007C5CB1" w:rsidRPr="001533F7">
        <w:rPr>
          <w:rFonts w:ascii="Arial" w:hAnsi="Arial" w:cs="Arial"/>
          <w:sz w:val="20"/>
          <w:szCs w:val="21"/>
        </w:rPr>
        <w:t>The net pension liability for fiscal year 2015 had an ending balance of $311,534 due to the implementation of GASB 68 &amp; 71.</w:t>
      </w:r>
    </w:p>
    <w:p w:rsidR="001E1298" w:rsidRPr="001533F7" w:rsidRDefault="001E1298">
      <w:pPr>
        <w:jc w:val="both"/>
        <w:rPr>
          <w:rFonts w:ascii="Arial" w:hAnsi="Arial" w:cs="Arial"/>
          <w:sz w:val="20"/>
        </w:rPr>
      </w:pPr>
    </w:p>
    <w:p w:rsidR="00035620" w:rsidRPr="001533F7" w:rsidRDefault="00035620" w:rsidP="00035620">
      <w:pPr>
        <w:jc w:val="both"/>
        <w:rPr>
          <w:rFonts w:ascii="Arial" w:hAnsi="Arial" w:cs="Arial"/>
          <w:sz w:val="20"/>
        </w:rPr>
      </w:pPr>
      <w:r w:rsidRPr="001533F7">
        <w:rPr>
          <w:rFonts w:ascii="Arial" w:hAnsi="Arial" w:cs="Arial"/>
          <w:sz w:val="20"/>
        </w:rPr>
        <w:t xml:space="preserve">State statutes limit the amount of general obligation debt a governmental entity may issue to </w:t>
      </w:r>
      <w:r w:rsidR="003E5489" w:rsidRPr="001533F7">
        <w:rPr>
          <w:rFonts w:ascii="Arial" w:hAnsi="Arial" w:cs="Arial"/>
          <w:sz w:val="20"/>
        </w:rPr>
        <w:t>10</w:t>
      </w:r>
      <w:r w:rsidRPr="001533F7">
        <w:rPr>
          <w:rFonts w:ascii="Arial" w:hAnsi="Arial" w:cs="Arial"/>
          <w:sz w:val="20"/>
        </w:rPr>
        <w:t xml:space="preserve"> percent of its total assessed valuation.</w:t>
      </w:r>
      <w:r w:rsidR="00550D17" w:rsidRPr="001533F7">
        <w:rPr>
          <w:rFonts w:ascii="Arial" w:hAnsi="Arial" w:cs="Arial"/>
          <w:sz w:val="20"/>
        </w:rPr>
        <w:t xml:space="preserve"> </w:t>
      </w:r>
      <w:r w:rsidRPr="001533F7">
        <w:rPr>
          <w:rFonts w:ascii="Arial" w:hAnsi="Arial" w:cs="Arial"/>
          <w:sz w:val="20"/>
        </w:rPr>
        <w:t>The current debt limitation for the District is $</w:t>
      </w:r>
      <w:r w:rsidR="003E5489" w:rsidRPr="001533F7">
        <w:rPr>
          <w:rFonts w:ascii="Arial" w:hAnsi="Arial" w:cs="Arial"/>
          <w:sz w:val="20"/>
        </w:rPr>
        <w:t>27,589,287</w:t>
      </w:r>
      <w:r w:rsidRPr="001533F7">
        <w:rPr>
          <w:rFonts w:ascii="Arial" w:hAnsi="Arial" w:cs="Arial"/>
          <w:sz w:val="20"/>
        </w:rPr>
        <w:t>.</w:t>
      </w:r>
    </w:p>
    <w:p w:rsidR="00035620" w:rsidRPr="001533F7" w:rsidRDefault="00035620">
      <w:pPr>
        <w:jc w:val="both"/>
        <w:rPr>
          <w:rFonts w:ascii="Arial" w:hAnsi="Arial" w:cs="Arial"/>
          <w:sz w:val="20"/>
        </w:rPr>
      </w:pPr>
    </w:p>
    <w:p w:rsidR="001E1298" w:rsidRPr="001533F7" w:rsidRDefault="001E1298">
      <w:pPr>
        <w:jc w:val="both"/>
        <w:rPr>
          <w:rFonts w:ascii="Arial" w:hAnsi="Arial" w:cs="Arial"/>
          <w:sz w:val="20"/>
        </w:rPr>
      </w:pPr>
      <w:r w:rsidRPr="001533F7">
        <w:rPr>
          <w:rFonts w:ascii="Arial" w:hAnsi="Arial" w:cs="Arial"/>
          <w:sz w:val="20"/>
        </w:rPr>
        <w:t>Additional information on the District’s long-term debt can b</w:t>
      </w:r>
      <w:r w:rsidR="00650EA9" w:rsidRPr="001533F7">
        <w:rPr>
          <w:rFonts w:ascii="Arial" w:hAnsi="Arial" w:cs="Arial"/>
          <w:sz w:val="20"/>
        </w:rPr>
        <w:t xml:space="preserve">e found in Note </w:t>
      </w:r>
      <w:r w:rsidR="003E5489" w:rsidRPr="001533F7">
        <w:rPr>
          <w:rFonts w:ascii="Arial" w:hAnsi="Arial" w:cs="Arial"/>
          <w:sz w:val="20"/>
        </w:rPr>
        <w:t>E</w:t>
      </w:r>
      <w:r w:rsidR="00650EA9" w:rsidRPr="001533F7">
        <w:rPr>
          <w:rFonts w:ascii="Arial" w:hAnsi="Arial" w:cs="Arial"/>
          <w:sz w:val="20"/>
        </w:rPr>
        <w:t xml:space="preserve"> on page</w:t>
      </w:r>
      <w:r w:rsidR="00035620" w:rsidRPr="001533F7">
        <w:rPr>
          <w:rFonts w:ascii="Arial" w:hAnsi="Arial" w:cs="Arial"/>
          <w:sz w:val="20"/>
        </w:rPr>
        <w:t xml:space="preserve"> </w:t>
      </w:r>
      <w:r w:rsidR="003E5489" w:rsidRPr="001533F7">
        <w:rPr>
          <w:rFonts w:ascii="Arial" w:hAnsi="Arial" w:cs="Arial"/>
          <w:sz w:val="20"/>
        </w:rPr>
        <w:t>27</w:t>
      </w:r>
      <w:r w:rsidR="005418B8" w:rsidRPr="001533F7">
        <w:rPr>
          <w:rFonts w:ascii="Arial" w:hAnsi="Arial" w:cs="Arial"/>
          <w:sz w:val="20"/>
        </w:rPr>
        <w:t xml:space="preserve"> </w:t>
      </w:r>
      <w:r w:rsidRPr="001533F7">
        <w:rPr>
          <w:rFonts w:ascii="Arial" w:hAnsi="Arial" w:cs="Arial"/>
          <w:sz w:val="20"/>
        </w:rPr>
        <w:t>of this report.</w:t>
      </w:r>
    </w:p>
    <w:p w:rsidR="00035620" w:rsidRPr="001533F7" w:rsidRDefault="00035620">
      <w:pPr>
        <w:pStyle w:val="Heading1"/>
        <w:jc w:val="both"/>
        <w:rPr>
          <w:rFonts w:ascii="Arial" w:hAnsi="Arial" w:cs="Arial"/>
          <w:sz w:val="20"/>
        </w:rPr>
      </w:pPr>
    </w:p>
    <w:p w:rsidR="001E1298" w:rsidRPr="001533F7" w:rsidRDefault="001E1298">
      <w:pPr>
        <w:pStyle w:val="Heading1"/>
        <w:jc w:val="both"/>
        <w:rPr>
          <w:rFonts w:ascii="Arial" w:hAnsi="Arial" w:cs="Arial"/>
          <w:sz w:val="20"/>
        </w:rPr>
      </w:pPr>
      <w:r w:rsidRPr="001533F7">
        <w:rPr>
          <w:rFonts w:ascii="Arial" w:hAnsi="Arial" w:cs="Arial"/>
          <w:sz w:val="20"/>
        </w:rPr>
        <w:t>Economic Factors and Next Year’s Budgets and Rates</w:t>
      </w:r>
    </w:p>
    <w:p w:rsidR="00221BC5" w:rsidRPr="001533F7" w:rsidRDefault="00221BC5" w:rsidP="00221BC5"/>
    <w:p w:rsidR="00634467" w:rsidRPr="001533F7" w:rsidRDefault="00F22EA1" w:rsidP="00634467">
      <w:pPr>
        <w:numPr>
          <w:ilvl w:val="0"/>
          <w:numId w:val="26"/>
        </w:numPr>
        <w:jc w:val="both"/>
        <w:rPr>
          <w:rFonts w:ascii="Arial" w:hAnsi="Arial" w:cs="Arial"/>
          <w:sz w:val="20"/>
        </w:rPr>
      </w:pPr>
      <w:r w:rsidRPr="001533F7">
        <w:rPr>
          <w:rFonts w:ascii="Arial" w:hAnsi="Arial" w:cs="Arial"/>
          <w:sz w:val="20"/>
        </w:rPr>
        <w:t xml:space="preserve">District enrollment has shown a trend, over the last two years, of </w:t>
      </w:r>
      <w:r w:rsidR="000F0689" w:rsidRPr="001533F7">
        <w:rPr>
          <w:rFonts w:ascii="Arial" w:hAnsi="Arial" w:cs="Arial"/>
          <w:sz w:val="20"/>
        </w:rPr>
        <w:t>decreasing</w:t>
      </w:r>
      <w:r w:rsidR="000F75B4" w:rsidRPr="001533F7">
        <w:rPr>
          <w:rFonts w:ascii="Arial" w:hAnsi="Arial" w:cs="Arial"/>
          <w:sz w:val="20"/>
        </w:rPr>
        <w:t xml:space="preserve"> </w:t>
      </w:r>
      <w:r w:rsidRPr="001533F7">
        <w:rPr>
          <w:rFonts w:ascii="Arial" w:hAnsi="Arial" w:cs="Arial"/>
          <w:sz w:val="20"/>
        </w:rPr>
        <w:t>as the year progresses.</w:t>
      </w:r>
    </w:p>
    <w:p w:rsidR="00634467" w:rsidRPr="001533F7" w:rsidRDefault="00F22EA1" w:rsidP="00502AF2">
      <w:pPr>
        <w:numPr>
          <w:ilvl w:val="0"/>
          <w:numId w:val="26"/>
        </w:numPr>
        <w:jc w:val="both"/>
        <w:rPr>
          <w:rFonts w:ascii="Arial" w:hAnsi="Arial" w:cs="Arial"/>
          <w:sz w:val="20"/>
        </w:rPr>
      </w:pPr>
      <w:r w:rsidRPr="001533F7">
        <w:rPr>
          <w:rFonts w:ascii="Arial" w:hAnsi="Arial" w:cs="Arial"/>
          <w:sz w:val="20"/>
        </w:rPr>
        <w:t xml:space="preserve">District ADA has </w:t>
      </w:r>
      <w:r w:rsidR="000F0689" w:rsidRPr="001533F7">
        <w:rPr>
          <w:rFonts w:ascii="Arial" w:hAnsi="Arial" w:cs="Arial"/>
          <w:sz w:val="20"/>
        </w:rPr>
        <w:t>decreased</w:t>
      </w:r>
      <w:r w:rsidR="000F75B4" w:rsidRPr="001533F7">
        <w:rPr>
          <w:rFonts w:ascii="Arial" w:hAnsi="Arial" w:cs="Arial"/>
          <w:sz w:val="20"/>
        </w:rPr>
        <w:t xml:space="preserve"> to </w:t>
      </w:r>
      <w:r w:rsidR="000F0689" w:rsidRPr="001533F7">
        <w:rPr>
          <w:rFonts w:ascii="Arial" w:hAnsi="Arial" w:cs="Arial"/>
          <w:sz w:val="20"/>
        </w:rPr>
        <w:t>476</w:t>
      </w:r>
      <w:r w:rsidRPr="001533F7">
        <w:rPr>
          <w:rFonts w:ascii="Arial" w:hAnsi="Arial" w:cs="Arial"/>
          <w:sz w:val="20"/>
        </w:rPr>
        <w:t xml:space="preserve"> students which ultimately </w:t>
      </w:r>
      <w:proofErr w:type="gramStart"/>
      <w:r w:rsidRPr="001533F7">
        <w:rPr>
          <w:rFonts w:ascii="Arial" w:hAnsi="Arial" w:cs="Arial"/>
          <w:sz w:val="20"/>
        </w:rPr>
        <w:t>affects</w:t>
      </w:r>
      <w:proofErr w:type="gramEnd"/>
      <w:r w:rsidRPr="001533F7">
        <w:rPr>
          <w:rFonts w:ascii="Arial" w:hAnsi="Arial" w:cs="Arial"/>
          <w:sz w:val="20"/>
        </w:rPr>
        <w:t xml:space="preserve"> WADA that drives the state funding formulas.</w:t>
      </w:r>
    </w:p>
    <w:p w:rsidR="00502AF2" w:rsidRPr="001533F7" w:rsidRDefault="00F22EA1" w:rsidP="00634467">
      <w:pPr>
        <w:numPr>
          <w:ilvl w:val="0"/>
          <w:numId w:val="26"/>
        </w:numPr>
        <w:jc w:val="both"/>
        <w:rPr>
          <w:rFonts w:ascii="Arial" w:hAnsi="Arial" w:cs="Arial"/>
          <w:sz w:val="20"/>
        </w:rPr>
      </w:pPr>
      <w:r w:rsidRPr="001533F7">
        <w:rPr>
          <w:rFonts w:ascii="Arial" w:hAnsi="Arial" w:cs="Arial"/>
          <w:sz w:val="20"/>
        </w:rPr>
        <w:t>Th</w:t>
      </w:r>
      <w:r w:rsidR="000F75B4" w:rsidRPr="001533F7">
        <w:rPr>
          <w:rFonts w:ascii="Arial" w:hAnsi="Arial" w:cs="Arial"/>
          <w:sz w:val="20"/>
        </w:rPr>
        <w:t>e district’s total tax rate decreased</w:t>
      </w:r>
      <w:r w:rsidRPr="001533F7">
        <w:rPr>
          <w:rFonts w:ascii="Arial" w:hAnsi="Arial" w:cs="Arial"/>
          <w:sz w:val="20"/>
        </w:rPr>
        <w:t xml:space="preserve"> from the preceding year </w:t>
      </w:r>
      <w:r w:rsidR="000F75B4" w:rsidRPr="001533F7">
        <w:rPr>
          <w:rFonts w:ascii="Arial" w:hAnsi="Arial" w:cs="Arial"/>
          <w:sz w:val="20"/>
        </w:rPr>
        <w:t xml:space="preserve">from </w:t>
      </w:r>
      <w:r w:rsidRPr="001533F7">
        <w:rPr>
          <w:rFonts w:ascii="Arial" w:hAnsi="Arial" w:cs="Arial"/>
          <w:sz w:val="20"/>
        </w:rPr>
        <w:t>$</w:t>
      </w:r>
      <w:r w:rsidR="000F0689" w:rsidRPr="001533F7">
        <w:rPr>
          <w:rFonts w:ascii="Arial" w:hAnsi="Arial" w:cs="Arial"/>
          <w:sz w:val="20"/>
        </w:rPr>
        <w:t>1.30059</w:t>
      </w:r>
      <w:r w:rsidR="000F75B4" w:rsidRPr="001533F7">
        <w:rPr>
          <w:rFonts w:ascii="Arial" w:hAnsi="Arial" w:cs="Arial"/>
          <w:sz w:val="20"/>
        </w:rPr>
        <w:t xml:space="preserve"> to $</w:t>
      </w:r>
      <w:r w:rsidR="000F0689" w:rsidRPr="001533F7">
        <w:rPr>
          <w:rFonts w:ascii="Arial" w:hAnsi="Arial" w:cs="Arial"/>
          <w:sz w:val="20"/>
        </w:rPr>
        <w:t>1.28664</w:t>
      </w:r>
      <w:r w:rsidRPr="001533F7">
        <w:rPr>
          <w:rFonts w:ascii="Arial" w:hAnsi="Arial" w:cs="Arial"/>
          <w:sz w:val="20"/>
        </w:rPr>
        <w:t xml:space="preserve"> per $100 appraised value.</w:t>
      </w:r>
      <w:r w:rsidR="00550D17" w:rsidRPr="001533F7">
        <w:rPr>
          <w:rFonts w:ascii="Arial" w:hAnsi="Arial" w:cs="Arial"/>
          <w:sz w:val="20"/>
        </w:rPr>
        <w:t xml:space="preserve"> </w:t>
      </w:r>
      <w:r w:rsidRPr="001533F7">
        <w:rPr>
          <w:rFonts w:ascii="Arial" w:hAnsi="Arial" w:cs="Arial"/>
          <w:sz w:val="20"/>
        </w:rPr>
        <w:t>(</w:t>
      </w:r>
      <w:r w:rsidR="00C67968" w:rsidRPr="001533F7">
        <w:rPr>
          <w:rFonts w:ascii="Arial" w:hAnsi="Arial" w:cs="Arial"/>
          <w:sz w:val="20"/>
        </w:rPr>
        <w:t>$</w:t>
      </w:r>
      <w:r w:rsidR="000F0689" w:rsidRPr="001533F7">
        <w:rPr>
          <w:rFonts w:ascii="Arial" w:hAnsi="Arial" w:cs="Arial"/>
          <w:sz w:val="20"/>
        </w:rPr>
        <w:t>1.17</w:t>
      </w:r>
      <w:r w:rsidR="000F75B4" w:rsidRPr="001533F7">
        <w:rPr>
          <w:rFonts w:ascii="Arial" w:hAnsi="Arial" w:cs="Arial"/>
          <w:sz w:val="20"/>
        </w:rPr>
        <w:t xml:space="preserve"> </w:t>
      </w:r>
      <w:r w:rsidR="00502AF2" w:rsidRPr="001533F7">
        <w:rPr>
          <w:rFonts w:ascii="Arial" w:hAnsi="Arial" w:cs="Arial"/>
          <w:sz w:val="20"/>
        </w:rPr>
        <w:t xml:space="preserve">M&amp;O </w:t>
      </w:r>
      <w:r w:rsidR="00C67968" w:rsidRPr="001533F7">
        <w:rPr>
          <w:rFonts w:ascii="Arial" w:hAnsi="Arial" w:cs="Arial"/>
          <w:sz w:val="20"/>
        </w:rPr>
        <w:t>and $</w:t>
      </w:r>
      <w:r w:rsidR="000F0689" w:rsidRPr="001533F7">
        <w:rPr>
          <w:rFonts w:ascii="Arial" w:hAnsi="Arial" w:cs="Arial"/>
          <w:sz w:val="20"/>
        </w:rPr>
        <w:t>.11664</w:t>
      </w:r>
      <w:r w:rsidR="00502AF2" w:rsidRPr="001533F7">
        <w:rPr>
          <w:rFonts w:ascii="Arial" w:hAnsi="Arial" w:cs="Arial"/>
          <w:sz w:val="20"/>
        </w:rPr>
        <w:t xml:space="preserve"> I&amp;S).</w:t>
      </w:r>
    </w:p>
    <w:p w:rsidR="000F75B4" w:rsidRPr="001533F7" w:rsidRDefault="00502AF2" w:rsidP="000F75B4">
      <w:pPr>
        <w:numPr>
          <w:ilvl w:val="0"/>
          <w:numId w:val="26"/>
        </w:numPr>
        <w:jc w:val="both"/>
        <w:rPr>
          <w:rFonts w:ascii="Arial" w:hAnsi="Arial" w:cs="Arial"/>
          <w:sz w:val="20"/>
        </w:rPr>
      </w:pPr>
      <w:proofErr w:type="gramStart"/>
      <w:r w:rsidRPr="001533F7">
        <w:rPr>
          <w:rFonts w:ascii="Arial" w:hAnsi="Arial" w:cs="Arial"/>
          <w:sz w:val="20"/>
        </w:rPr>
        <w:t>The I</w:t>
      </w:r>
      <w:proofErr w:type="gramEnd"/>
      <w:r w:rsidRPr="001533F7">
        <w:rPr>
          <w:rFonts w:ascii="Arial" w:hAnsi="Arial" w:cs="Arial"/>
          <w:sz w:val="20"/>
        </w:rPr>
        <w:t xml:space="preserve">&amp;S (interest in sinking) rate for </w:t>
      </w:r>
      <w:r w:rsidR="00F6145F" w:rsidRPr="001533F7">
        <w:rPr>
          <w:rFonts w:ascii="Arial" w:hAnsi="Arial" w:cs="Arial"/>
          <w:sz w:val="20"/>
        </w:rPr>
        <w:t>201</w:t>
      </w:r>
      <w:r w:rsidR="009A0AB5" w:rsidRPr="001533F7">
        <w:rPr>
          <w:rFonts w:ascii="Arial" w:hAnsi="Arial" w:cs="Arial"/>
          <w:sz w:val="20"/>
        </w:rPr>
        <w:t>5</w:t>
      </w:r>
      <w:r w:rsidRPr="001533F7">
        <w:rPr>
          <w:rFonts w:ascii="Arial" w:hAnsi="Arial" w:cs="Arial"/>
          <w:sz w:val="20"/>
        </w:rPr>
        <w:t>-</w:t>
      </w:r>
      <w:r w:rsidR="001B17E3" w:rsidRPr="001533F7">
        <w:rPr>
          <w:rFonts w:ascii="Arial" w:hAnsi="Arial" w:cs="Arial"/>
          <w:sz w:val="20"/>
        </w:rPr>
        <w:t>201</w:t>
      </w:r>
      <w:r w:rsidR="009A0AB5" w:rsidRPr="001533F7">
        <w:rPr>
          <w:rFonts w:ascii="Arial" w:hAnsi="Arial" w:cs="Arial"/>
          <w:sz w:val="20"/>
        </w:rPr>
        <w:t>6</w:t>
      </w:r>
      <w:r w:rsidRPr="001533F7">
        <w:rPr>
          <w:rFonts w:ascii="Arial" w:hAnsi="Arial" w:cs="Arial"/>
          <w:sz w:val="20"/>
        </w:rPr>
        <w:t xml:space="preserve"> is</w:t>
      </w:r>
      <w:r w:rsidR="00F22EA1" w:rsidRPr="001533F7">
        <w:rPr>
          <w:rFonts w:ascii="Arial" w:hAnsi="Arial" w:cs="Arial"/>
          <w:sz w:val="20"/>
        </w:rPr>
        <w:t xml:space="preserve"> </w:t>
      </w:r>
      <w:r w:rsidRPr="001533F7">
        <w:rPr>
          <w:rFonts w:ascii="Arial" w:hAnsi="Arial" w:cs="Arial"/>
          <w:sz w:val="20"/>
        </w:rPr>
        <w:t>$</w:t>
      </w:r>
      <w:r w:rsidR="000F0689" w:rsidRPr="001533F7">
        <w:rPr>
          <w:rFonts w:ascii="Arial" w:hAnsi="Arial" w:cs="Arial"/>
          <w:sz w:val="20"/>
        </w:rPr>
        <w:t>.124069</w:t>
      </w:r>
      <w:r w:rsidRPr="001533F7">
        <w:rPr>
          <w:rFonts w:ascii="Arial" w:hAnsi="Arial" w:cs="Arial"/>
          <w:sz w:val="20"/>
        </w:rPr>
        <w:t xml:space="preserve"> </w:t>
      </w:r>
      <w:r w:rsidR="00F22EA1" w:rsidRPr="001533F7">
        <w:rPr>
          <w:rFonts w:ascii="Arial" w:hAnsi="Arial" w:cs="Arial"/>
          <w:sz w:val="20"/>
        </w:rPr>
        <w:t xml:space="preserve">per $100 </w:t>
      </w:r>
      <w:r w:rsidRPr="001533F7">
        <w:rPr>
          <w:rFonts w:ascii="Arial" w:hAnsi="Arial" w:cs="Arial"/>
          <w:sz w:val="20"/>
        </w:rPr>
        <w:t xml:space="preserve">of </w:t>
      </w:r>
      <w:r w:rsidR="000F0689" w:rsidRPr="001533F7">
        <w:rPr>
          <w:rFonts w:ascii="Arial" w:hAnsi="Arial" w:cs="Arial"/>
          <w:sz w:val="20"/>
        </w:rPr>
        <w:t>assessed value which is an increase from</w:t>
      </w:r>
      <w:r w:rsidR="00F22EA1" w:rsidRPr="001533F7">
        <w:rPr>
          <w:rFonts w:ascii="Arial" w:hAnsi="Arial" w:cs="Arial"/>
          <w:sz w:val="20"/>
        </w:rPr>
        <w:t xml:space="preserve"> last year.</w:t>
      </w:r>
    </w:p>
    <w:p w:rsidR="00550D17" w:rsidRPr="001533F7" w:rsidRDefault="000F75B4" w:rsidP="00550D17">
      <w:pPr>
        <w:numPr>
          <w:ilvl w:val="0"/>
          <w:numId w:val="26"/>
        </w:numPr>
        <w:jc w:val="both"/>
        <w:rPr>
          <w:rFonts w:ascii="Arial" w:hAnsi="Arial" w:cs="Arial"/>
          <w:sz w:val="20"/>
        </w:rPr>
      </w:pPr>
      <w:r w:rsidRPr="001533F7">
        <w:rPr>
          <w:rFonts w:ascii="Arial" w:hAnsi="Arial" w:cs="Arial"/>
          <w:sz w:val="20"/>
        </w:rPr>
        <w:t xml:space="preserve">The school district has appropriated revenues and expenditures (federal, state, local) in </w:t>
      </w:r>
      <w:r w:rsidR="00F6145F" w:rsidRPr="001533F7">
        <w:rPr>
          <w:rFonts w:ascii="Arial" w:hAnsi="Arial" w:cs="Arial"/>
          <w:sz w:val="20"/>
        </w:rPr>
        <w:t>201</w:t>
      </w:r>
      <w:r w:rsidR="009A0AB5" w:rsidRPr="001533F7">
        <w:rPr>
          <w:rFonts w:ascii="Arial" w:hAnsi="Arial" w:cs="Arial"/>
          <w:sz w:val="20"/>
        </w:rPr>
        <w:t>5</w:t>
      </w:r>
      <w:r w:rsidRPr="001533F7">
        <w:rPr>
          <w:rFonts w:ascii="Arial" w:hAnsi="Arial" w:cs="Arial"/>
          <w:sz w:val="20"/>
        </w:rPr>
        <w:t>-201</w:t>
      </w:r>
      <w:r w:rsidR="009A0AB5" w:rsidRPr="001533F7">
        <w:rPr>
          <w:rFonts w:ascii="Arial" w:hAnsi="Arial" w:cs="Arial"/>
          <w:sz w:val="20"/>
        </w:rPr>
        <w:t>6</w:t>
      </w:r>
      <w:r w:rsidRPr="001533F7">
        <w:rPr>
          <w:rFonts w:ascii="Arial" w:hAnsi="Arial" w:cs="Arial"/>
          <w:sz w:val="20"/>
        </w:rPr>
        <w:t xml:space="preserve"> budget of $</w:t>
      </w:r>
      <w:r w:rsidR="000F0689" w:rsidRPr="001533F7">
        <w:rPr>
          <w:rFonts w:ascii="Arial" w:hAnsi="Arial" w:cs="Arial"/>
          <w:sz w:val="20"/>
        </w:rPr>
        <w:t>5,237,458 and $5,352,312</w:t>
      </w:r>
      <w:r w:rsidRPr="001533F7">
        <w:rPr>
          <w:rFonts w:ascii="Arial" w:hAnsi="Arial" w:cs="Arial"/>
          <w:sz w:val="20"/>
        </w:rPr>
        <w:t xml:space="preserve"> respectively.</w:t>
      </w:r>
      <w:r w:rsidR="004C506D" w:rsidRPr="001533F7">
        <w:rPr>
          <w:rFonts w:ascii="Arial" w:hAnsi="Arial" w:cs="Arial"/>
          <w:sz w:val="20"/>
        </w:rPr>
        <w:t xml:space="preserve"> </w:t>
      </w:r>
    </w:p>
    <w:p w:rsidR="00550D17" w:rsidRPr="001533F7" w:rsidRDefault="00550D17" w:rsidP="00550D17"/>
    <w:p w:rsidR="0001649D" w:rsidRPr="001533F7" w:rsidRDefault="0001649D">
      <w:pPr>
        <w:jc w:val="both"/>
        <w:rPr>
          <w:rFonts w:ascii="Arial" w:hAnsi="Arial" w:cs="Arial"/>
          <w:b/>
          <w:sz w:val="20"/>
        </w:rPr>
      </w:pPr>
    </w:p>
    <w:p w:rsidR="0001649D" w:rsidRPr="001533F7" w:rsidRDefault="0001649D">
      <w:pPr>
        <w:jc w:val="both"/>
        <w:rPr>
          <w:rFonts w:ascii="Arial" w:hAnsi="Arial" w:cs="Arial"/>
          <w:b/>
          <w:sz w:val="20"/>
        </w:rPr>
      </w:pPr>
    </w:p>
    <w:p w:rsidR="0001649D" w:rsidRPr="001533F7" w:rsidRDefault="0001649D">
      <w:pPr>
        <w:jc w:val="both"/>
        <w:rPr>
          <w:rFonts w:ascii="Arial" w:hAnsi="Arial" w:cs="Arial"/>
          <w:b/>
          <w:sz w:val="20"/>
        </w:rPr>
      </w:pPr>
    </w:p>
    <w:p w:rsidR="0001649D" w:rsidRPr="001533F7" w:rsidRDefault="0001649D">
      <w:pPr>
        <w:jc w:val="both"/>
        <w:rPr>
          <w:rFonts w:ascii="Arial" w:hAnsi="Arial" w:cs="Arial"/>
          <w:b/>
          <w:sz w:val="20"/>
        </w:rPr>
      </w:pPr>
    </w:p>
    <w:p w:rsidR="0001649D" w:rsidRPr="001533F7" w:rsidRDefault="0001649D">
      <w:pPr>
        <w:jc w:val="both"/>
        <w:rPr>
          <w:rFonts w:ascii="Arial" w:hAnsi="Arial" w:cs="Arial"/>
          <w:b/>
          <w:sz w:val="20"/>
        </w:rPr>
      </w:pPr>
    </w:p>
    <w:p w:rsidR="0001649D" w:rsidRPr="001533F7" w:rsidRDefault="0001649D">
      <w:pPr>
        <w:jc w:val="both"/>
        <w:rPr>
          <w:rFonts w:ascii="Arial" w:hAnsi="Arial" w:cs="Arial"/>
          <w:b/>
          <w:sz w:val="20"/>
        </w:rPr>
      </w:pPr>
    </w:p>
    <w:p w:rsidR="007D0C2A" w:rsidRPr="001533F7" w:rsidRDefault="007D0C2A">
      <w:pPr>
        <w:jc w:val="both"/>
        <w:rPr>
          <w:rFonts w:ascii="Arial" w:hAnsi="Arial" w:cs="Arial"/>
          <w:b/>
          <w:sz w:val="20"/>
        </w:rPr>
      </w:pPr>
      <w:r w:rsidRPr="001533F7">
        <w:rPr>
          <w:rFonts w:ascii="Arial" w:hAnsi="Arial" w:cs="Arial"/>
          <w:b/>
          <w:sz w:val="20"/>
        </w:rPr>
        <w:lastRenderedPageBreak/>
        <w:t>Requests for Information</w:t>
      </w:r>
    </w:p>
    <w:p w:rsidR="00550D17" w:rsidRPr="001533F7" w:rsidRDefault="00550D17">
      <w:pPr>
        <w:jc w:val="both"/>
        <w:rPr>
          <w:rFonts w:ascii="Arial" w:hAnsi="Arial" w:cs="Arial"/>
          <w:b/>
          <w:sz w:val="20"/>
        </w:rPr>
      </w:pPr>
    </w:p>
    <w:p w:rsidR="001E1298" w:rsidRPr="007D0C2A" w:rsidRDefault="007D0C2A">
      <w:pPr>
        <w:jc w:val="both"/>
        <w:rPr>
          <w:rFonts w:ascii="Arial" w:hAnsi="Arial" w:cs="Arial"/>
          <w:sz w:val="20"/>
        </w:rPr>
      </w:pPr>
      <w:r w:rsidRPr="001533F7">
        <w:rPr>
          <w:rFonts w:ascii="Arial" w:hAnsi="Arial" w:cs="Arial"/>
          <w:sz w:val="20"/>
        </w:rPr>
        <w:t>T</w:t>
      </w:r>
      <w:r w:rsidR="001E1298" w:rsidRPr="001533F7">
        <w:rPr>
          <w:rFonts w:ascii="Arial" w:hAnsi="Arial" w:cs="Arial"/>
          <w:sz w:val="20"/>
        </w:rPr>
        <w:t>his financial report is designed to provide our citizens, taxpayers, customers, investors and creditors with a general overview of the District’s finances as well as demonstrate accountability for funds the District receives.</w:t>
      </w:r>
      <w:r w:rsidR="00550D17" w:rsidRPr="001533F7">
        <w:rPr>
          <w:rFonts w:ascii="Arial" w:hAnsi="Arial" w:cs="Arial"/>
          <w:sz w:val="20"/>
        </w:rPr>
        <w:t xml:space="preserve"> </w:t>
      </w:r>
      <w:r w:rsidR="001E1298" w:rsidRPr="001533F7">
        <w:rPr>
          <w:rFonts w:ascii="Arial" w:hAnsi="Arial" w:cs="Arial"/>
          <w:sz w:val="20"/>
        </w:rPr>
        <w:t xml:space="preserve">Questions concerning any of the information provided in this report or requests for additional information should be addressed to the </w:t>
      </w:r>
      <w:smartTag w:uri="urn:schemas-microsoft-com:office:smarttags" w:element="place">
        <w:smartTag w:uri="urn:schemas-microsoft-com:office:smarttags" w:element="PlaceName">
          <w:r w:rsidR="001E1298" w:rsidRPr="001533F7">
            <w:rPr>
              <w:rFonts w:ascii="Arial" w:hAnsi="Arial" w:cs="Arial"/>
              <w:sz w:val="20"/>
            </w:rPr>
            <w:t>Santo</w:t>
          </w:r>
        </w:smartTag>
        <w:r w:rsidR="001E1298" w:rsidRPr="001533F7">
          <w:rPr>
            <w:rFonts w:ascii="Arial" w:hAnsi="Arial" w:cs="Arial"/>
            <w:sz w:val="20"/>
          </w:rPr>
          <w:t xml:space="preserve"> </w:t>
        </w:r>
        <w:smartTag w:uri="urn:schemas-microsoft-com:office:smarttags" w:element="PlaceName">
          <w:r w:rsidR="001E1298" w:rsidRPr="001533F7">
            <w:rPr>
              <w:rFonts w:ascii="Arial" w:hAnsi="Arial" w:cs="Arial"/>
              <w:sz w:val="20"/>
            </w:rPr>
            <w:t>Independent</w:t>
          </w:r>
        </w:smartTag>
        <w:r w:rsidR="001E1298" w:rsidRPr="001533F7">
          <w:rPr>
            <w:rFonts w:ascii="Arial" w:hAnsi="Arial" w:cs="Arial"/>
            <w:sz w:val="20"/>
          </w:rPr>
          <w:t xml:space="preserve"> </w:t>
        </w:r>
        <w:smartTag w:uri="urn:schemas-microsoft-com:office:smarttags" w:element="PlaceType">
          <w:r w:rsidR="001E1298" w:rsidRPr="001533F7">
            <w:rPr>
              <w:rFonts w:ascii="Arial" w:hAnsi="Arial" w:cs="Arial"/>
              <w:sz w:val="20"/>
            </w:rPr>
            <w:t>School District</w:t>
          </w:r>
        </w:smartTag>
      </w:smartTag>
      <w:r w:rsidR="001E1298" w:rsidRPr="001533F7">
        <w:rPr>
          <w:rFonts w:ascii="Arial" w:hAnsi="Arial" w:cs="Arial"/>
          <w:sz w:val="20"/>
        </w:rPr>
        <w:t xml:space="preserve">, </w:t>
      </w:r>
      <w:smartTag w:uri="urn:schemas-microsoft-com:office:smarttags" w:element="address">
        <w:smartTag w:uri="urn:schemas-microsoft-com:office:smarttags" w:element="Street">
          <w:r w:rsidR="001E1298" w:rsidRPr="001533F7">
            <w:rPr>
              <w:rFonts w:ascii="Arial" w:hAnsi="Arial" w:cs="Arial"/>
              <w:sz w:val="20"/>
            </w:rPr>
            <w:t>P.O. Box 67</w:t>
          </w:r>
        </w:smartTag>
        <w:r w:rsidR="001E1298" w:rsidRPr="001533F7">
          <w:rPr>
            <w:rFonts w:ascii="Arial" w:hAnsi="Arial" w:cs="Arial"/>
            <w:sz w:val="20"/>
          </w:rPr>
          <w:t xml:space="preserve">, </w:t>
        </w:r>
        <w:smartTag w:uri="urn:schemas-microsoft-com:office:smarttags" w:element="City">
          <w:r w:rsidR="001E1298" w:rsidRPr="001533F7">
            <w:rPr>
              <w:rFonts w:ascii="Arial" w:hAnsi="Arial" w:cs="Arial"/>
              <w:sz w:val="20"/>
            </w:rPr>
            <w:t>Santo</w:t>
          </w:r>
        </w:smartTag>
        <w:r w:rsidR="001E1298" w:rsidRPr="001533F7">
          <w:rPr>
            <w:rFonts w:ascii="Arial" w:hAnsi="Arial" w:cs="Arial"/>
            <w:sz w:val="20"/>
          </w:rPr>
          <w:t xml:space="preserve">, </w:t>
        </w:r>
        <w:smartTag w:uri="urn:schemas-microsoft-com:office:smarttags" w:element="State">
          <w:r w:rsidR="001E1298" w:rsidRPr="001533F7">
            <w:rPr>
              <w:rFonts w:ascii="Arial" w:hAnsi="Arial" w:cs="Arial"/>
              <w:sz w:val="20"/>
            </w:rPr>
            <w:t>Texas</w:t>
          </w:r>
        </w:smartTag>
        <w:r w:rsidR="001E1298" w:rsidRPr="001533F7">
          <w:rPr>
            <w:rFonts w:ascii="Arial" w:hAnsi="Arial" w:cs="Arial"/>
            <w:sz w:val="20"/>
          </w:rPr>
          <w:t xml:space="preserve"> </w:t>
        </w:r>
        <w:smartTag w:uri="urn:schemas-microsoft-com:office:smarttags" w:element="PostalCode">
          <w:r w:rsidR="001E1298" w:rsidRPr="001533F7">
            <w:rPr>
              <w:rFonts w:ascii="Arial" w:hAnsi="Arial" w:cs="Arial"/>
              <w:sz w:val="20"/>
            </w:rPr>
            <w:t>76472</w:t>
          </w:r>
        </w:smartTag>
      </w:smartTag>
      <w:r w:rsidR="001E1298" w:rsidRPr="001533F7">
        <w:rPr>
          <w:rFonts w:ascii="Arial" w:hAnsi="Arial" w:cs="Arial"/>
          <w:sz w:val="20"/>
        </w:rPr>
        <w:t>.</w:t>
      </w:r>
      <w:bookmarkStart w:id="63" w:name="_GoBack"/>
      <w:bookmarkEnd w:id="63"/>
    </w:p>
    <w:sectPr w:rsidR="001E1298" w:rsidRPr="007D0C2A" w:rsidSect="00B64019">
      <w:headerReference w:type="even" r:id="rId17"/>
      <w:headerReference w:type="default" r:id="rId18"/>
      <w:footerReference w:type="even" r:id="rId19"/>
      <w:footerReference w:type="default" r:id="rId20"/>
      <w:headerReference w:type="first" r:id="rId21"/>
      <w:footerReference w:type="first" r:id="rId22"/>
      <w:pgSz w:w="12240" w:h="15840"/>
      <w:pgMar w:top="1080" w:right="1296" w:bottom="1440" w:left="1296" w:header="720" w:footer="720"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DE8" w:rsidRDefault="00075DE8">
      <w:r>
        <w:separator/>
      </w:r>
    </w:p>
  </w:endnote>
  <w:endnote w:type="continuationSeparator" w:id="0">
    <w:p w:rsidR="00075DE8" w:rsidRDefault="0007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0F4" w:rsidRDefault="009460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460F4" w:rsidRDefault="009460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0F4" w:rsidRPr="003B3D1D" w:rsidRDefault="009460F4">
    <w:pPr>
      <w:pStyle w:val="Footer"/>
      <w:jc w:val="center"/>
      <w:rPr>
        <w:rFonts w:ascii="Arial" w:hAnsi="Arial"/>
        <w:sz w:val="20"/>
      </w:rPr>
    </w:pPr>
    <w:r w:rsidRPr="003B3D1D">
      <w:rPr>
        <w:rStyle w:val="PageNumber"/>
        <w:rFonts w:ascii="Arial" w:hAnsi="Arial"/>
        <w:sz w:val="20"/>
      </w:rPr>
      <w:fldChar w:fldCharType="begin"/>
    </w:r>
    <w:r w:rsidRPr="003B3D1D">
      <w:rPr>
        <w:rStyle w:val="PageNumber"/>
        <w:rFonts w:ascii="Arial" w:hAnsi="Arial"/>
        <w:sz w:val="20"/>
      </w:rPr>
      <w:instrText xml:space="preserve"> PAGE </w:instrText>
    </w:r>
    <w:r w:rsidRPr="003B3D1D">
      <w:rPr>
        <w:rStyle w:val="PageNumber"/>
        <w:rFonts w:ascii="Arial" w:hAnsi="Arial"/>
        <w:sz w:val="20"/>
      </w:rPr>
      <w:fldChar w:fldCharType="separate"/>
    </w:r>
    <w:r w:rsidR="001533F7">
      <w:rPr>
        <w:rStyle w:val="PageNumber"/>
        <w:rFonts w:ascii="Arial" w:hAnsi="Arial"/>
        <w:noProof/>
        <w:sz w:val="20"/>
      </w:rPr>
      <w:t>8</w:t>
    </w:r>
    <w:r w:rsidRPr="003B3D1D">
      <w:rPr>
        <w:rStyle w:val="PageNumber"/>
        <w:rFonts w:ascii="Arial" w:hAnsi="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2F" w:rsidRDefault="00005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DE8" w:rsidRDefault="00075DE8">
      <w:r>
        <w:separator/>
      </w:r>
    </w:p>
  </w:footnote>
  <w:footnote w:type="continuationSeparator" w:id="0">
    <w:p w:rsidR="00075DE8" w:rsidRDefault="00075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2F" w:rsidRDefault="00005B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2F" w:rsidRDefault="00005B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2F" w:rsidRDefault="00005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B94"/>
    <w:multiLevelType w:val="hybridMultilevel"/>
    <w:tmpl w:val="495E26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4236628"/>
    <w:multiLevelType w:val="singleLevel"/>
    <w:tmpl w:val="1D909FC0"/>
    <w:lvl w:ilvl="0">
      <w:start w:val="1"/>
      <w:numFmt w:val="bullet"/>
      <w:lvlText w:val=""/>
      <w:lvlJc w:val="left"/>
      <w:pPr>
        <w:tabs>
          <w:tab w:val="num" w:pos="360"/>
        </w:tabs>
        <w:ind w:left="360" w:hanging="360"/>
      </w:pPr>
      <w:rPr>
        <w:rFonts w:ascii="Symbol" w:hAnsi="Symbol" w:hint="default"/>
        <w:sz w:val="22"/>
      </w:rPr>
    </w:lvl>
  </w:abstractNum>
  <w:abstractNum w:abstractNumId="2">
    <w:nsid w:val="05900F35"/>
    <w:multiLevelType w:val="singleLevel"/>
    <w:tmpl w:val="F59872C2"/>
    <w:lvl w:ilvl="0">
      <w:start w:val="1"/>
      <w:numFmt w:val="bullet"/>
      <w:lvlText w:val=""/>
      <w:lvlJc w:val="left"/>
      <w:pPr>
        <w:tabs>
          <w:tab w:val="num" w:pos="360"/>
        </w:tabs>
        <w:ind w:left="360" w:hanging="360"/>
      </w:pPr>
      <w:rPr>
        <w:rFonts w:ascii="Symbol" w:hAnsi="Symbol" w:hint="default"/>
        <w:sz w:val="22"/>
      </w:rPr>
    </w:lvl>
  </w:abstractNum>
  <w:abstractNum w:abstractNumId="3">
    <w:nsid w:val="05EB2B77"/>
    <w:multiLevelType w:val="singleLevel"/>
    <w:tmpl w:val="25AC91E2"/>
    <w:lvl w:ilvl="0">
      <w:start w:val="1"/>
      <w:numFmt w:val="bullet"/>
      <w:lvlText w:val=""/>
      <w:lvlJc w:val="left"/>
      <w:pPr>
        <w:tabs>
          <w:tab w:val="num" w:pos="360"/>
        </w:tabs>
        <w:ind w:left="360" w:hanging="360"/>
      </w:pPr>
      <w:rPr>
        <w:rFonts w:ascii="Symbol" w:hAnsi="Symbol" w:hint="default"/>
        <w:sz w:val="28"/>
      </w:rPr>
    </w:lvl>
  </w:abstractNum>
  <w:abstractNum w:abstractNumId="4">
    <w:nsid w:val="077C5791"/>
    <w:multiLevelType w:val="singleLevel"/>
    <w:tmpl w:val="C5781AEC"/>
    <w:lvl w:ilvl="0">
      <w:start w:val="1"/>
      <w:numFmt w:val="bullet"/>
      <w:lvlText w:val=""/>
      <w:lvlJc w:val="left"/>
      <w:pPr>
        <w:tabs>
          <w:tab w:val="num" w:pos="360"/>
        </w:tabs>
        <w:ind w:left="360" w:hanging="360"/>
      </w:pPr>
      <w:rPr>
        <w:rFonts w:ascii="Symbol" w:hAnsi="Symbol" w:hint="default"/>
        <w:sz w:val="22"/>
      </w:rPr>
    </w:lvl>
  </w:abstractNum>
  <w:abstractNum w:abstractNumId="5">
    <w:nsid w:val="08BF2902"/>
    <w:multiLevelType w:val="hybridMultilevel"/>
    <w:tmpl w:val="C08690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9633950"/>
    <w:multiLevelType w:val="singleLevel"/>
    <w:tmpl w:val="C770B76A"/>
    <w:lvl w:ilvl="0">
      <w:start w:val="1"/>
      <w:numFmt w:val="bullet"/>
      <w:lvlText w:val=""/>
      <w:lvlJc w:val="left"/>
      <w:pPr>
        <w:tabs>
          <w:tab w:val="num" w:pos="360"/>
        </w:tabs>
        <w:ind w:left="360" w:hanging="360"/>
      </w:pPr>
      <w:rPr>
        <w:rFonts w:ascii="Symbol" w:hAnsi="Symbol" w:hint="default"/>
        <w:sz w:val="22"/>
      </w:rPr>
    </w:lvl>
  </w:abstractNum>
  <w:abstractNum w:abstractNumId="7">
    <w:nsid w:val="0FC47BAF"/>
    <w:multiLevelType w:val="singleLevel"/>
    <w:tmpl w:val="77E6223E"/>
    <w:lvl w:ilvl="0">
      <w:start w:val="1"/>
      <w:numFmt w:val="bullet"/>
      <w:lvlText w:val=""/>
      <w:lvlJc w:val="left"/>
      <w:pPr>
        <w:tabs>
          <w:tab w:val="num" w:pos="360"/>
        </w:tabs>
        <w:ind w:left="360" w:hanging="360"/>
      </w:pPr>
      <w:rPr>
        <w:rFonts w:ascii="Symbol" w:hAnsi="Symbol" w:hint="default"/>
        <w:sz w:val="22"/>
      </w:rPr>
    </w:lvl>
  </w:abstractNum>
  <w:abstractNum w:abstractNumId="8">
    <w:nsid w:val="1419256B"/>
    <w:multiLevelType w:val="singleLevel"/>
    <w:tmpl w:val="34669442"/>
    <w:lvl w:ilvl="0">
      <w:start w:val="1"/>
      <w:numFmt w:val="bullet"/>
      <w:lvlText w:val=""/>
      <w:lvlJc w:val="left"/>
      <w:pPr>
        <w:tabs>
          <w:tab w:val="num" w:pos="360"/>
        </w:tabs>
        <w:ind w:left="360" w:hanging="360"/>
      </w:pPr>
      <w:rPr>
        <w:rFonts w:ascii="Symbol" w:hAnsi="Symbol" w:hint="default"/>
        <w:sz w:val="22"/>
      </w:rPr>
    </w:lvl>
  </w:abstractNum>
  <w:abstractNum w:abstractNumId="9">
    <w:nsid w:val="153662F3"/>
    <w:multiLevelType w:val="singleLevel"/>
    <w:tmpl w:val="53B483FC"/>
    <w:lvl w:ilvl="0">
      <w:start w:val="1"/>
      <w:numFmt w:val="bullet"/>
      <w:lvlText w:val=""/>
      <w:lvlJc w:val="left"/>
      <w:pPr>
        <w:tabs>
          <w:tab w:val="num" w:pos="360"/>
        </w:tabs>
        <w:ind w:left="360" w:hanging="360"/>
      </w:pPr>
      <w:rPr>
        <w:rFonts w:ascii="Symbol" w:hAnsi="Symbol" w:hint="default"/>
        <w:sz w:val="28"/>
      </w:rPr>
    </w:lvl>
  </w:abstractNum>
  <w:abstractNum w:abstractNumId="10">
    <w:nsid w:val="1C58041E"/>
    <w:multiLevelType w:val="singleLevel"/>
    <w:tmpl w:val="53B483FC"/>
    <w:lvl w:ilvl="0">
      <w:start w:val="1"/>
      <w:numFmt w:val="bullet"/>
      <w:lvlText w:val=""/>
      <w:lvlJc w:val="left"/>
      <w:pPr>
        <w:tabs>
          <w:tab w:val="num" w:pos="360"/>
        </w:tabs>
        <w:ind w:left="360" w:hanging="360"/>
      </w:pPr>
      <w:rPr>
        <w:rFonts w:ascii="Symbol" w:hAnsi="Symbol" w:hint="default"/>
        <w:sz w:val="28"/>
      </w:rPr>
    </w:lvl>
  </w:abstractNum>
  <w:abstractNum w:abstractNumId="11">
    <w:nsid w:val="26C50B54"/>
    <w:multiLevelType w:val="singleLevel"/>
    <w:tmpl w:val="53B483FC"/>
    <w:lvl w:ilvl="0">
      <w:start w:val="1"/>
      <w:numFmt w:val="bullet"/>
      <w:lvlText w:val=""/>
      <w:lvlJc w:val="left"/>
      <w:pPr>
        <w:tabs>
          <w:tab w:val="num" w:pos="360"/>
        </w:tabs>
        <w:ind w:left="360" w:hanging="360"/>
      </w:pPr>
      <w:rPr>
        <w:rFonts w:ascii="Symbol" w:hAnsi="Symbol" w:hint="default"/>
        <w:sz w:val="28"/>
      </w:rPr>
    </w:lvl>
  </w:abstractNum>
  <w:abstractNum w:abstractNumId="12">
    <w:nsid w:val="2A095C2E"/>
    <w:multiLevelType w:val="singleLevel"/>
    <w:tmpl w:val="0C847686"/>
    <w:lvl w:ilvl="0">
      <w:start w:val="1"/>
      <w:numFmt w:val="bullet"/>
      <w:lvlText w:val=""/>
      <w:lvlJc w:val="left"/>
      <w:pPr>
        <w:tabs>
          <w:tab w:val="num" w:pos="360"/>
        </w:tabs>
        <w:ind w:left="360" w:hanging="360"/>
      </w:pPr>
      <w:rPr>
        <w:rFonts w:ascii="Symbol" w:hAnsi="Symbol" w:hint="default"/>
        <w:sz w:val="22"/>
      </w:rPr>
    </w:lvl>
  </w:abstractNum>
  <w:abstractNum w:abstractNumId="13">
    <w:nsid w:val="33712E5E"/>
    <w:multiLevelType w:val="singleLevel"/>
    <w:tmpl w:val="53B483FC"/>
    <w:lvl w:ilvl="0">
      <w:start w:val="1"/>
      <w:numFmt w:val="bullet"/>
      <w:lvlText w:val=""/>
      <w:lvlJc w:val="left"/>
      <w:pPr>
        <w:tabs>
          <w:tab w:val="num" w:pos="360"/>
        </w:tabs>
        <w:ind w:left="360" w:hanging="360"/>
      </w:pPr>
      <w:rPr>
        <w:rFonts w:ascii="Symbol" w:hAnsi="Symbol" w:hint="default"/>
        <w:sz w:val="28"/>
      </w:rPr>
    </w:lvl>
  </w:abstractNum>
  <w:abstractNum w:abstractNumId="14">
    <w:nsid w:val="36325EA7"/>
    <w:multiLevelType w:val="singleLevel"/>
    <w:tmpl w:val="53B483FC"/>
    <w:lvl w:ilvl="0">
      <w:start w:val="1"/>
      <w:numFmt w:val="bullet"/>
      <w:lvlText w:val=""/>
      <w:lvlJc w:val="left"/>
      <w:pPr>
        <w:tabs>
          <w:tab w:val="num" w:pos="360"/>
        </w:tabs>
        <w:ind w:left="360" w:hanging="360"/>
      </w:pPr>
      <w:rPr>
        <w:rFonts w:ascii="Symbol" w:hAnsi="Symbol" w:hint="default"/>
        <w:sz w:val="28"/>
      </w:rPr>
    </w:lvl>
  </w:abstractNum>
  <w:abstractNum w:abstractNumId="15">
    <w:nsid w:val="3E353151"/>
    <w:multiLevelType w:val="singleLevel"/>
    <w:tmpl w:val="53B483FC"/>
    <w:lvl w:ilvl="0">
      <w:start w:val="1"/>
      <w:numFmt w:val="bullet"/>
      <w:lvlText w:val=""/>
      <w:lvlJc w:val="left"/>
      <w:pPr>
        <w:tabs>
          <w:tab w:val="num" w:pos="360"/>
        </w:tabs>
        <w:ind w:left="360" w:hanging="360"/>
      </w:pPr>
      <w:rPr>
        <w:rFonts w:ascii="Symbol" w:hAnsi="Symbol" w:hint="default"/>
        <w:sz w:val="28"/>
      </w:rPr>
    </w:lvl>
  </w:abstractNum>
  <w:abstractNum w:abstractNumId="16">
    <w:nsid w:val="41133EF2"/>
    <w:multiLevelType w:val="singleLevel"/>
    <w:tmpl w:val="F80C7B66"/>
    <w:lvl w:ilvl="0">
      <w:start w:val="1"/>
      <w:numFmt w:val="bullet"/>
      <w:lvlText w:val=""/>
      <w:lvlJc w:val="left"/>
      <w:pPr>
        <w:tabs>
          <w:tab w:val="num" w:pos="360"/>
        </w:tabs>
        <w:ind w:left="360" w:hanging="360"/>
      </w:pPr>
      <w:rPr>
        <w:rFonts w:ascii="Symbol" w:hAnsi="Symbol" w:hint="default"/>
        <w:sz w:val="22"/>
      </w:rPr>
    </w:lvl>
  </w:abstractNum>
  <w:abstractNum w:abstractNumId="17">
    <w:nsid w:val="44E3741A"/>
    <w:multiLevelType w:val="singleLevel"/>
    <w:tmpl w:val="9A260FD4"/>
    <w:lvl w:ilvl="0">
      <w:start w:val="1"/>
      <w:numFmt w:val="bullet"/>
      <w:lvlText w:val=""/>
      <w:lvlJc w:val="left"/>
      <w:pPr>
        <w:tabs>
          <w:tab w:val="num" w:pos="1080"/>
        </w:tabs>
        <w:ind w:left="1080" w:hanging="360"/>
      </w:pPr>
      <w:rPr>
        <w:rFonts w:ascii="Symbol" w:hAnsi="Symbol" w:hint="default"/>
        <w:sz w:val="28"/>
      </w:rPr>
    </w:lvl>
  </w:abstractNum>
  <w:abstractNum w:abstractNumId="18">
    <w:nsid w:val="46A317DA"/>
    <w:multiLevelType w:val="singleLevel"/>
    <w:tmpl w:val="53B483FC"/>
    <w:lvl w:ilvl="0">
      <w:start w:val="1"/>
      <w:numFmt w:val="bullet"/>
      <w:lvlText w:val=""/>
      <w:lvlJc w:val="left"/>
      <w:pPr>
        <w:tabs>
          <w:tab w:val="num" w:pos="360"/>
        </w:tabs>
        <w:ind w:left="360" w:hanging="360"/>
      </w:pPr>
      <w:rPr>
        <w:rFonts w:ascii="Symbol" w:hAnsi="Symbol" w:hint="default"/>
        <w:sz w:val="28"/>
      </w:rPr>
    </w:lvl>
  </w:abstractNum>
  <w:abstractNum w:abstractNumId="19">
    <w:nsid w:val="4A781B5F"/>
    <w:multiLevelType w:val="hybridMultilevel"/>
    <w:tmpl w:val="914A32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0866C3B"/>
    <w:multiLevelType w:val="singleLevel"/>
    <w:tmpl w:val="75548228"/>
    <w:lvl w:ilvl="0">
      <w:start w:val="1"/>
      <w:numFmt w:val="bullet"/>
      <w:lvlText w:val=""/>
      <w:lvlJc w:val="left"/>
      <w:pPr>
        <w:tabs>
          <w:tab w:val="num" w:pos="360"/>
        </w:tabs>
        <w:ind w:left="360" w:hanging="360"/>
      </w:pPr>
      <w:rPr>
        <w:rFonts w:ascii="Symbol" w:hAnsi="Symbol" w:hint="default"/>
        <w:sz w:val="22"/>
      </w:rPr>
    </w:lvl>
  </w:abstractNum>
  <w:abstractNum w:abstractNumId="21">
    <w:nsid w:val="50DA147F"/>
    <w:multiLevelType w:val="singleLevel"/>
    <w:tmpl w:val="4C6677A6"/>
    <w:lvl w:ilvl="0">
      <w:start w:val="1"/>
      <w:numFmt w:val="bullet"/>
      <w:lvlText w:val=""/>
      <w:lvlJc w:val="left"/>
      <w:pPr>
        <w:tabs>
          <w:tab w:val="num" w:pos="360"/>
        </w:tabs>
        <w:ind w:left="360" w:hanging="360"/>
      </w:pPr>
      <w:rPr>
        <w:rFonts w:ascii="Symbol" w:hAnsi="Symbol" w:hint="default"/>
        <w:sz w:val="22"/>
      </w:rPr>
    </w:lvl>
  </w:abstractNum>
  <w:abstractNum w:abstractNumId="22">
    <w:nsid w:val="534829E4"/>
    <w:multiLevelType w:val="hybridMultilevel"/>
    <w:tmpl w:val="97B6B6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93C2E3D"/>
    <w:multiLevelType w:val="singleLevel"/>
    <w:tmpl w:val="A1F268D8"/>
    <w:lvl w:ilvl="0">
      <w:start w:val="1"/>
      <w:numFmt w:val="bullet"/>
      <w:lvlText w:val=""/>
      <w:lvlJc w:val="left"/>
      <w:pPr>
        <w:tabs>
          <w:tab w:val="num" w:pos="360"/>
        </w:tabs>
        <w:ind w:left="360" w:hanging="360"/>
      </w:pPr>
      <w:rPr>
        <w:rFonts w:ascii="Symbol" w:hAnsi="Symbol" w:hint="default"/>
        <w:sz w:val="28"/>
      </w:rPr>
    </w:lvl>
  </w:abstractNum>
  <w:abstractNum w:abstractNumId="24">
    <w:nsid w:val="6BCB1FB0"/>
    <w:multiLevelType w:val="hybridMultilevel"/>
    <w:tmpl w:val="55865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583787"/>
    <w:multiLevelType w:val="singleLevel"/>
    <w:tmpl w:val="42C29880"/>
    <w:lvl w:ilvl="0">
      <w:start w:val="1"/>
      <w:numFmt w:val="bullet"/>
      <w:lvlText w:val=""/>
      <w:lvlJc w:val="left"/>
      <w:pPr>
        <w:tabs>
          <w:tab w:val="num" w:pos="360"/>
        </w:tabs>
        <w:ind w:left="360" w:hanging="360"/>
      </w:pPr>
      <w:rPr>
        <w:rFonts w:ascii="Symbol" w:hAnsi="Symbol" w:hint="default"/>
        <w:sz w:val="22"/>
      </w:rPr>
    </w:lvl>
  </w:abstractNum>
  <w:abstractNum w:abstractNumId="26">
    <w:nsid w:val="6E766D09"/>
    <w:multiLevelType w:val="singleLevel"/>
    <w:tmpl w:val="53B483FC"/>
    <w:lvl w:ilvl="0">
      <w:start w:val="1"/>
      <w:numFmt w:val="bullet"/>
      <w:lvlText w:val=""/>
      <w:lvlJc w:val="left"/>
      <w:pPr>
        <w:tabs>
          <w:tab w:val="num" w:pos="360"/>
        </w:tabs>
        <w:ind w:left="360" w:hanging="360"/>
      </w:pPr>
      <w:rPr>
        <w:rFonts w:ascii="Symbol" w:hAnsi="Symbol" w:hint="default"/>
        <w:sz w:val="28"/>
      </w:rPr>
    </w:lvl>
  </w:abstractNum>
  <w:abstractNum w:abstractNumId="27">
    <w:nsid w:val="6EC0138E"/>
    <w:multiLevelType w:val="hybridMultilevel"/>
    <w:tmpl w:val="BA421B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EFC15B5"/>
    <w:multiLevelType w:val="singleLevel"/>
    <w:tmpl w:val="53B483FC"/>
    <w:lvl w:ilvl="0">
      <w:start w:val="1"/>
      <w:numFmt w:val="bullet"/>
      <w:lvlText w:val=""/>
      <w:lvlJc w:val="left"/>
      <w:pPr>
        <w:tabs>
          <w:tab w:val="num" w:pos="360"/>
        </w:tabs>
        <w:ind w:left="360" w:hanging="360"/>
      </w:pPr>
      <w:rPr>
        <w:rFonts w:ascii="Symbol" w:hAnsi="Symbol" w:hint="default"/>
        <w:sz w:val="28"/>
      </w:rPr>
    </w:lvl>
  </w:abstractNum>
  <w:abstractNum w:abstractNumId="29">
    <w:nsid w:val="76154B39"/>
    <w:multiLevelType w:val="singleLevel"/>
    <w:tmpl w:val="53B483FC"/>
    <w:lvl w:ilvl="0">
      <w:start w:val="1"/>
      <w:numFmt w:val="bullet"/>
      <w:lvlText w:val=""/>
      <w:lvlJc w:val="left"/>
      <w:pPr>
        <w:tabs>
          <w:tab w:val="num" w:pos="360"/>
        </w:tabs>
        <w:ind w:left="360" w:hanging="360"/>
      </w:pPr>
      <w:rPr>
        <w:rFonts w:ascii="Symbol" w:hAnsi="Symbol" w:hint="default"/>
        <w:sz w:val="28"/>
      </w:rPr>
    </w:lvl>
  </w:abstractNum>
  <w:abstractNum w:abstractNumId="30">
    <w:nsid w:val="7E2B0C21"/>
    <w:multiLevelType w:val="singleLevel"/>
    <w:tmpl w:val="E92C0180"/>
    <w:lvl w:ilvl="0">
      <w:start w:val="1"/>
      <w:numFmt w:val="bullet"/>
      <w:lvlText w:val=""/>
      <w:lvlJc w:val="left"/>
      <w:pPr>
        <w:tabs>
          <w:tab w:val="num" w:pos="360"/>
        </w:tabs>
        <w:ind w:left="360" w:hanging="360"/>
      </w:pPr>
      <w:rPr>
        <w:rFonts w:ascii="Symbol" w:hAnsi="Symbol" w:hint="default"/>
        <w:sz w:val="22"/>
      </w:rPr>
    </w:lvl>
  </w:abstractNum>
  <w:abstractNum w:abstractNumId="31">
    <w:nsid w:val="7F105199"/>
    <w:multiLevelType w:val="singleLevel"/>
    <w:tmpl w:val="A46E7C24"/>
    <w:lvl w:ilvl="0">
      <w:start w:val="1"/>
      <w:numFmt w:val="bullet"/>
      <w:lvlText w:val=""/>
      <w:lvlJc w:val="left"/>
      <w:pPr>
        <w:tabs>
          <w:tab w:val="num" w:pos="360"/>
        </w:tabs>
        <w:ind w:left="360" w:hanging="360"/>
      </w:pPr>
      <w:rPr>
        <w:rFonts w:ascii="Symbol" w:hAnsi="Symbol" w:hint="default"/>
        <w:sz w:val="22"/>
      </w:rPr>
    </w:lvl>
  </w:abstractNum>
  <w:num w:numId="1">
    <w:abstractNumId w:val="17"/>
  </w:num>
  <w:num w:numId="2">
    <w:abstractNumId w:val="23"/>
  </w:num>
  <w:num w:numId="3">
    <w:abstractNumId w:val="3"/>
  </w:num>
  <w:num w:numId="4">
    <w:abstractNumId w:val="26"/>
  </w:num>
  <w:num w:numId="5">
    <w:abstractNumId w:val="14"/>
  </w:num>
  <w:num w:numId="6">
    <w:abstractNumId w:val="28"/>
  </w:num>
  <w:num w:numId="7">
    <w:abstractNumId w:val="9"/>
  </w:num>
  <w:num w:numId="8">
    <w:abstractNumId w:val="18"/>
  </w:num>
  <w:num w:numId="9">
    <w:abstractNumId w:val="11"/>
  </w:num>
  <w:num w:numId="10">
    <w:abstractNumId w:val="15"/>
  </w:num>
  <w:num w:numId="11">
    <w:abstractNumId w:val="13"/>
  </w:num>
  <w:num w:numId="12">
    <w:abstractNumId w:val="29"/>
  </w:num>
  <w:num w:numId="13">
    <w:abstractNumId w:val="10"/>
  </w:num>
  <w:num w:numId="14">
    <w:abstractNumId w:val="2"/>
  </w:num>
  <w:num w:numId="15">
    <w:abstractNumId w:val="21"/>
  </w:num>
  <w:num w:numId="16">
    <w:abstractNumId w:val="1"/>
  </w:num>
  <w:num w:numId="17">
    <w:abstractNumId w:val="31"/>
  </w:num>
  <w:num w:numId="18">
    <w:abstractNumId w:val="8"/>
  </w:num>
  <w:num w:numId="19">
    <w:abstractNumId w:val="7"/>
  </w:num>
  <w:num w:numId="20">
    <w:abstractNumId w:val="20"/>
  </w:num>
  <w:num w:numId="21">
    <w:abstractNumId w:val="6"/>
  </w:num>
  <w:num w:numId="22">
    <w:abstractNumId w:val="4"/>
  </w:num>
  <w:num w:numId="23">
    <w:abstractNumId w:val="25"/>
  </w:num>
  <w:num w:numId="24">
    <w:abstractNumId w:val="30"/>
  </w:num>
  <w:num w:numId="25">
    <w:abstractNumId w:val="16"/>
  </w:num>
  <w:num w:numId="26">
    <w:abstractNumId w:val="12"/>
  </w:num>
  <w:num w:numId="27">
    <w:abstractNumId w:val="22"/>
  </w:num>
  <w:num w:numId="28">
    <w:abstractNumId w:val="5"/>
  </w:num>
  <w:num w:numId="29">
    <w:abstractNumId w:val="24"/>
  </w:num>
  <w:num w:numId="30">
    <w:abstractNumId w:val="27"/>
  </w:num>
  <w:num w:numId="31">
    <w:abstractNumId w:val="19"/>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style="mso-position-horizontal:center"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Engagement©Date@Amount@Report@[CP]@C@All@All@@@@@" w:val="08/31/2015"/>
  </w:docVars>
  <w:rsids>
    <w:rsidRoot w:val="001E1298"/>
    <w:rsid w:val="0000010C"/>
    <w:rsid w:val="00005B2F"/>
    <w:rsid w:val="0001649D"/>
    <w:rsid w:val="00035620"/>
    <w:rsid w:val="00045683"/>
    <w:rsid w:val="00055A69"/>
    <w:rsid w:val="000569E9"/>
    <w:rsid w:val="000637EC"/>
    <w:rsid w:val="00066FA8"/>
    <w:rsid w:val="00075DE8"/>
    <w:rsid w:val="000A6322"/>
    <w:rsid w:val="000B70C3"/>
    <w:rsid w:val="000C18CE"/>
    <w:rsid w:val="000F0689"/>
    <w:rsid w:val="000F75B4"/>
    <w:rsid w:val="0010542D"/>
    <w:rsid w:val="00106E32"/>
    <w:rsid w:val="00120D8B"/>
    <w:rsid w:val="0013335D"/>
    <w:rsid w:val="00134904"/>
    <w:rsid w:val="00137E72"/>
    <w:rsid w:val="001533F7"/>
    <w:rsid w:val="00167073"/>
    <w:rsid w:val="00180A6D"/>
    <w:rsid w:val="001B17E3"/>
    <w:rsid w:val="001C1787"/>
    <w:rsid w:val="001C2349"/>
    <w:rsid w:val="001D7D93"/>
    <w:rsid w:val="001E1298"/>
    <w:rsid w:val="001E7903"/>
    <w:rsid w:val="001F6EDE"/>
    <w:rsid w:val="001F794F"/>
    <w:rsid w:val="00221BC5"/>
    <w:rsid w:val="00243B50"/>
    <w:rsid w:val="0025404B"/>
    <w:rsid w:val="00256A25"/>
    <w:rsid w:val="002606CC"/>
    <w:rsid w:val="00276F6E"/>
    <w:rsid w:val="002D15A6"/>
    <w:rsid w:val="0030197B"/>
    <w:rsid w:val="00312FF0"/>
    <w:rsid w:val="00335086"/>
    <w:rsid w:val="003B3D1D"/>
    <w:rsid w:val="003B4D5A"/>
    <w:rsid w:val="003D31B6"/>
    <w:rsid w:val="003D4CBD"/>
    <w:rsid w:val="003D6C02"/>
    <w:rsid w:val="003E2E8E"/>
    <w:rsid w:val="003E5489"/>
    <w:rsid w:val="003F4570"/>
    <w:rsid w:val="003F60D4"/>
    <w:rsid w:val="004066FE"/>
    <w:rsid w:val="00416A2F"/>
    <w:rsid w:val="00461E74"/>
    <w:rsid w:val="004646D3"/>
    <w:rsid w:val="00465C5C"/>
    <w:rsid w:val="004715D8"/>
    <w:rsid w:val="00480D26"/>
    <w:rsid w:val="00493BE3"/>
    <w:rsid w:val="004C506D"/>
    <w:rsid w:val="004D1255"/>
    <w:rsid w:val="004D27BE"/>
    <w:rsid w:val="004E63D1"/>
    <w:rsid w:val="0050158B"/>
    <w:rsid w:val="00502AF2"/>
    <w:rsid w:val="005418B8"/>
    <w:rsid w:val="00550D17"/>
    <w:rsid w:val="005555D1"/>
    <w:rsid w:val="00556B36"/>
    <w:rsid w:val="00565ED2"/>
    <w:rsid w:val="00593055"/>
    <w:rsid w:val="00602AA0"/>
    <w:rsid w:val="00603858"/>
    <w:rsid w:val="00606B03"/>
    <w:rsid w:val="0060701F"/>
    <w:rsid w:val="0061421A"/>
    <w:rsid w:val="006304FA"/>
    <w:rsid w:val="00634467"/>
    <w:rsid w:val="00636AA5"/>
    <w:rsid w:val="00650EA9"/>
    <w:rsid w:val="0065573C"/>
    <w:rsid w:val="006645A8"/>
    <w:rsid w:val="00672E16"/>
    <w:rsid w:val="0067619C"/>
    <w:rsid w:val="00693994"/>
    <w:rsid w:val="006975F7"/>
    <w:rsid w:val="006B0558"/>
    <w:rsid w:val="006E3A76"/>
    <w:rsid w:val="006F1A94"/>
    <w:rsid w:val="00700266"/>
    <w:rsid w:val="007123D7"/>
    <w:rsid w:val="00726268"/>
    <w:rsid w:val="0073264B"/>
    <w:rsid w:val="007419D8"/>
    <w:rsid w:val="007621E4"/>
    <w:rsid w:val="00775E98"/>
    <w:rsid w:val="00777766"/>
    <w:rsid w:val="007A1E34"/>
    <w:rsid w:val="007C5CB1"/>
    <w:rsid w:val="007C79C1"/>
    <w:rsid w:val="007D0C2A"/>
    <w:rsid w:val="007D0F93"/>
    <w:rsid w:val="007E1EB8"/>
    <w:rsid w:val="00821B9B"/>
    <w:rsid w:val="00832942"/>
    <w:rsid w:val="00842444"/>
    <w:rsid w:val="00850558"/>
    <w:rsid w:val="00895712"/>
    <w:rsid w:val="008B60FD"/>
    <w:rsid w:val="008F2767"/>
    <w:rsid w:val="00905994"/>
    <w:rsid w:val="00943950"/>
    <w:rsid w:val="00944EB1"/>
    <w:rsid w:val="009460F4"/>
    <w:rsid w:val="009912BB"/>
    <w:rsid w:val="009A0AB5"/>
    <w:rsid w:val="009A3F7F"/>
    <w:rsid w:val="009B0CA9"/>
    <w:rsid w:val="009E6AA7"/>
    <w:rsid w:val="009F62F1"/>
    <w:rsid w:val="00A05C48"/>
    <w:rsid w:val="00A0623C"/>
    <w:rsid w:val="00A575EF"/>
    <w:rsid w:val="00A75FE5"/>
    <w:rsid w:val="00A84CE1"/>
    <w:rsid w:val="00A855FA"/>
    <w:rsid w:val="00AA0D97"/>
    <w:rsid w:val="00AB3ED5"/>
    <w:rsid w:val="00AF0A31"/>
    <w:rsid w:val="00AF20BD"/>
    <w:rsid w:val="00AF71ED"/>
    <w:rsid w:val="00B03E81"/>
    <w:rsid w:val="00B110BB"/>
    <w:rsid w:val="00B138EC"/>
    <w:rsid w:val="00B17A00"/>
    <w:rsid w:val="00B31202"/>
    <w:rsid w:val="00B3722D"/>
    <w:rsid w:val="00B64019"/>
    <w:rsid w:val="00B8169B"/>
    <w:rsid w:val="00B83D98"/>
    <w:rsid w:val="00BD1CD6"/>
    <w:rsid w:val="00BD5D6B"/>
    <w:rsid w:val="00BF184B"/>
    <w:rsid w:val="00BF6D01"/>
    <w:rsid w:val="00C15857"/>
    <w:rsid w:val="00C660BB"/>
    <w:rsid w:val="00C67968"/>
    <w:rsid w:val="00C71807"/>
    <w:rsid w:val="00C71C77"/>
    <w:rsid w:val="00CA7333"/>
    <w:rsid w:val="00CA7EB9"/>
    <w:rsid w:val="00CB01E0"/>
    <w:rsid w:val="00CB789A"/>
    <w:rsid w:val="00CD327F"/>
    <w:rsid w:val="00CF273C"/>
    <w:rsid w:val="00CF4F2A"/>
    <w:rsid w:val="00D054F3"/>
    <w:rsid w:val="00D059AE"/>
    <w:rsid w:val="00D06552"/>
    <w:rsid w:val="00D1146F"/>
    <w:rsid w:val="00D16FF0"/>
    <w:rsid w:val="00D31B72"/>
    <w:rsid w:val="00D66FA5"/>
    <w:rsid w:val="00D76023"/>
    <w:rsid w:val="00D92904"/>
    <w:rsid w:val="00DB7E5E"/>
    <w:rsid w:val="00DE2EA2"/>
    <w:rsid w:val="00DE56B4"/>
    <w:rsid w:val="00DF5413"/>
    <w:rsid w:val="00E219A3"/>
    <w:rsid w:val="00E23CCA"/>
    <w:rsid w:val="00E301D0"/>
    <w:rsid w:val="00E442EC"/>
    <w:rsid w:val="00E522EE"/>
    <w:rsid w:val="00E67E0F"/>
    <w:rsid w:val="00E74FE1"/>
    <w:rsid w:val="00EA2F59"/>
    <w:rsid w:val="00EA4AED"/>
    <w:rsid w:val="00EC0E71"/>
    <w:rsid w:val="00EC583C"/>
    <w:rsid w:val="00ED7DBB"/>
    <w:rsid w:val="00EF0B1E"/>
    <w:rsid w:val="00F01485"/>
    <w:rsid w:val="00F22EA1"/>
    <w:rsid w:val="00F46A1C"/>
    <w:rsid w:val="00F6145F"/>
    <w:rsid w:val="00F71CE2"/>
    <w:rsid w:val="00FA02B0"/>
    <w:rsid w:val="00FA0A23"/>
    <w:rsid w:val="00FA743D"/>
    <w:rsid w:val="00FB1C22"/>
    <w:rsid w:val="00FB3FB0"/>
    <w:rsid w:val="00FB4B81"/>
    <w:rsid w:val="00FC133F"/>
    <w:rsid w:val="00FF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style="mso-position-horizontal:center"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napToGrid w:val="0"/>
      <w:color w:val="000000"/>
      <w:sz w:val="16"/>
    </w:rPr>
  </w:style>
  <w:style w:type="paragraph" w:styleId="Heading3">
    <w:name w:val="heading 3"/>
    <w:basedOn w:val="Normal"/>
    <w:next w:val="Normal"/>
    <w:qFormat/>
    <w:pPr>
      <w:keepNext/>
      <w:outlineLvl w:val="2"/>
    </w:pPr>
    <w:rPr>
      <w:b/>
      <w:snapToGrid w:val="0"/>
      <w:color w:val="000000"/>
    </w:rPr>
  </w:style>
  <w:style w:type="paragraph" w:styleId="Heading4">
    <w:name w:val="heading 4"/>
    <w:basedOn w:val="Normal"/>
    <w:next w:val="Normal"/>
    <w:qFormat/>
    <w:pPr>
      <w:keepNext/>
      <w:outlineLvl w:val="3"/>
    </w:pPr>
    <w:rPr>
      <w:b/>
      <w:snapToGrid w:val="0"/>
      <w:color w:val="000000"/>
      <w:sz w:val="18"/>
    </w:rPr>
  </w:style>
  <w:style w:type="paragraph" w:styleId="Heading5">
    <w:name w:val="heading 5"/>
    <w:basedOn w:val="Normal"/>
    <w:next w:val="Normal"/>
    <w:qFormat/>
    <w:pPr>
      <w:keepNext/>
      <w:jc w:val="center"/>
      <w:outlineLvl w:val="4"/>
    </w:pPr>
    <w:rPr>
      <w:rFonts w:ascii="Arial" w:hAnsi="Arial" w:cs="Arial"/>
      <w:b/>
      <w:snapToGrid w:val="0"/>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B3D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napToGrid w:val="0"/>
      <w:color w:val="000000"/>
      <w:sz w:val="16"/>
    </w:rPr>
  </w:style>
  <w:style w:type="paragraph" w:styleId="Heading3">
    <w:name w:val="heading 3"/>
    <w:basedOn w:val="Normal"/>
    <w:next w:val="Normal"/>
    <w:qFormat/>
    <w:pPr>
      <w:keepNext/>
      <w:outlineLvl w:val="2"/>
    </w:pPr>
    <w:rPr>
      <w:b/>
      <w:snapToGrid w:val="0"/>
      <w:color w:val="000000"/>
    </w:rPr>
  </w:style>
  <w:style w:type="paragraph" w:styleId="Heading4">
    <w:name w:val="heading 4"/>
    <w:basedOn w:val="Normal"/>
    <w:next w:val="Normal"/>
    <w:qFormat/>
    <w:pPr>
      <w:keepNext/>
      <w:outlineLvl w:val="3"/>
    </w:pPr>
    <w:rPr>
      <w:b/>
      <w:snapToGrid w:val="0"/>
      <w:color w:val="000000"/>
      <w:sz w:val="18"/>
    </w:rPr>
  </w:style>
  <w:style w:type="paragraph" w:styleId="Heading5">
    <w:name w:val="heading 5"/>
    <w:basedOn w:val="Normal"/>
    <w:next w:val="Normal"/>
    <w:qFormat/>
    <w:pPr>
      <w:keepNext/>
      <w:jc w:val="center"/>
      <w:outlineLvl w:val="4"/>
    </w:pPr>
    <w:rPr>
      <w:rFonts w:ascii="Arial" w:hAnsi="Arial" w:cs="Arial"/>
      <w:b/>
      <w:snapToGrid w:val="0"/>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B3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3.xls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Excel_Worksheet5.xls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package" Target="embeddings/Microsoft_Excel_Worksheet1.xlsx"/><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2.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9795.2740059\AppData\Roaming\Microsoft\Templates\csatmpl.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96" b="1" i="0" u="none" strike="noStrike" baseline="0">
                <a:solidFill>
                  <a:srgbClr val="000000"/>
                </a:solidFill>
                <a:latin typeface="Calibri"/>
                <a:ea typeface="Calibri"/>
                <a:cs typeface="Calibri"/>
              </a:defRPr>
            </a:pPr>
            <a:r>
              <a:rPr lang="en-US"/>
              <a:t>August 31, 2015 Net Position</a:t>
            </a:r>
          </a:p>
        </c:rich>
      </c:tx>
      <c:layout>
        <c:manualLayout>
          <c:xMode val="edge"/>
          <c:yMode val="edge"/>
          <c:x val="0.25021912036627697"/>
          <c:y val="3.289130258215911E-2"/>
        </c:manualLayout>
      </c:layout>
      <c:overlay val="0"/>
      <c:spPr>
        <a:noFill/>
        <a:ln w="25300">
          <a:noFill/>
        </a:ln>
      </c:spPr>
    </c:title>
    <c:autoTitleDeleted val="0"/>
    <c:view3D>
      <c:rotX val="20"/>
      <c:rotY val="140"/>
      <c:rAngAx val="0"/>
      <c:perspective val="30"/>
    </c:view3D>
    <c:floor>
      <c:thickness val="0"/>
    </c:floor>
    <c:sideWall>
      <c:thickness val="0"/>
    </c:sideWall>
    <c:backWall>
      <c:thickness val="0"/>
    </c:backWall>
    <c:plotArea>
      <c:layout>
        <c:manualLayout>
          <c:layoutTarget val="inner"/>
          <c:xMode val="edge"/>
          <c:yMode val="edge"/>
          <c:x val="0.16522978776915787"/>
          <c:y val="0.3087342964203631"/>
          <c:w val="0.65713957515138621"/>
          <c:h val="0.57248418940662804"/>
        </c:manualLayout>
      </c:layout>
      <c:pie3DChart>
        <c:varyColors val="1"/>
        <c:ser>
          <c:idx val="0"/>
          <c:order val="0"/>
          <c:tx>
            <c:strRef>
              <c:f>Sheet1!$A$2</c:f>
              <c:strCache>
                <c:ptCount val="1"/>
                <c:pt idx="0">
                  <c:v>Net Position</c:v>
                </c:pt>
              </c:strCache>
            </c:strRef>
          </c:tx>
          <c:spPr>
            <a:solidFill>
              <a:srgbClr val="9999FF"/>
            </a:solidFill>
            <a:ln w="12650">
              <a:solidFill>
                <a:srgbClr val="000000"/>
              </a:solidFill>
              <a:prstDash val="solid"/>
            </a:ln>
          </c:spPr>
          <c:dPt>
            <c:idx val="0"/>
            <c:bubble3D val="0"/>
            <c:explosion val="11"/>
            <c:spPr>
              <a:solidFill>
                <a:srgbClr val="008000"/>
              </a:solidFill>
              <a:ln w="57150">
                <a:solidFill>
                  <a:srgbClr val="000000"/>
                </a:solidFill>
                <a:prstDash val="solid"/>
              </a:ln>
            </c:spPr>
          </c:dPt>
          <c:dPt>
            <c:idx val="1"/>
            <c:bubble3D val="0"/>
            <c:spPr>
              <a:solidFill>
                <a:srgbClr val="FFFFFF"/>
              </a:solidFill>
              <a:ln w="57150">
                <a:solidFill>
                  <a:srgbClr val="000000"/>
                </a:solidFill>
                <a:prstDash val="solid"/>
              </a:ln>
            </c:spPr>
          </c:dPt>
          <c:dPt>
            <c:idx val="2"/>
            <c:bubble3D val="0"/>
            <c:explosion val="12"/>
            <c:spPr>
              <a:solidFill>
                <a:srgbClr val="969696"/>
              </a:solidFill>
              <a:ln w="57150">
                <a:solidFill>
                  <a:srgbClr val="000000"/>
                </a:solidFill>
                <a:prstDash val="solid"/>
              </a:ln>
            </c:spPr>
          </c:dPt>
          <c:dLbls>
            <c:dLbl>
              <c:idx val="0"/>
              <c:layout>
                <c:manualLayout>
                  <c:x val="-1.5431513894167929E-3"/>
                  <c:y val="-0.26872671321512348"/>
                </c:manualLayout>
              </c:layout>
              <c:tx>
                <c:rich>
                  <a:bodyPr/>
                  <a:lstStyle/>
                  <a:p>
                    <a:pPr>
                      <a:defRPr/>
                    </a:pPr>
                    <a:r>
                      <a:rPr lang="en-US"/>
                      <a:t>Net investment</a:t>
                    </a:r>
                    <a:r>
                      <a:rPr lang="en-US" baseline="0"/>
                      <a:t> in capital assets</a:t>
                    </a:r>
                    <a:r>
                      <a:rPr lang="en-US"/>
                      <a:t>
71%</a:t>
                    </a:r>
                  </a:p>
                </c:rich>
              </c:tx>
              <c:numFmt formatCode="0%" sourceLinked="0"/>
              <c:spPr/>
              <c:dLblPos val="bestFit"/>
              <c:showLegendKey val="0"/>
              <c:showVal val="0"/>
              <c:showCatName val="1"/>
              <c:showSerName val="0"/>
              <c:showPercent val="1"/>
              <c:showBubbleSize val="0"/>
            </c:dLbl>
            <c:dLbl>
              <c:idx val="1"/>
              <c:layout>
                <c:manualLayout>
                  <c:x val="5.9502071392234426E-3"/>
                  <c:y val="-0.10477073828956107"/>
                </c:manualLayout>
              </c:layout>
              <c:tx>
                <c:rich>
                  <a:bodyPr/>
                  <a:lstStyle/>
                  <a:p>
                    <a:r>
                      <a:rPr lang="en-US" sz="900"/>
                      <a:t>Restricted
4%</a:t>
                    </a:r>
                  </a:p>
                </c:rich>
              </c:tx>
              <c:dLblPos val="bestFit"/>
              <c:showLegendKey val="0"/>
              <c:showVal val="0"/>
              <c:showCatName val="1"/>
              <c:showSerName val="0"/>
              <c:showPercent val="1"/>
              <c:showBubbleSize val="0"/>
            </c:dLbl>
            <c:dLbl>
              <c:idx val="2"/>
              <c:layout>
                <c:manualLayout>
                  <c:x val="7.3650780763517928E-2"/>
                  <c:y val="-0.14130851075118925"/>
                </c:manualLayout>
              </c:layout>
              <c:tx>
                <c:rich>
                  <a:bodyPr/>
                  <a:lstStyle/>
                  <a:p>
                    <a:r>
                      <a:rPr lang="en-US" sz="900"/>
                      <a:t>Unrestricted
25%</a:t>
                    </a:r>
                  </a:p>
                </c:rich>
              </c:tx>
              <c:dLblPos val="bestFit"/>
              <c:showLegendKey val="0"/>
              <c:showVal val="0"/>
              <c:showCatName val="1"/>
              <c:showSerName val="0"/>
              <c:showPercent val="1"/>
              <c:showBubbleSize val="0"/>
            </c:dLbl>
            <c:numFmt formatCode="0%" sourceLinked="0"/>
            <c:spPr>
              <a:noFill/>
              <a:ln w="25300">
                <a:noFill/>
              </a:ln>
            </c:spPr>
            <c:txPr>
              <a:bodyPr/>
              <a:lstStyle/>
              <a:p>
                <a:pPr>
                  <a:defRPr sz="797" b="1" i="0" u="none" strike="noStrike" baseline="0">
                    <a:solidFill>
                      <a:srgbClr val="000000"/>
                    </a:solidFill>
                    <a:latin typeface="Calibri"/>
                    <a:ea typeface="Calibri"/>
                    <a:cs typeface="Calibri"/>
                  </a:defRPr>
                </a:pPr>
                <a:endParaRPr lang="en-US"/>
              </a:p>
            </c:txPr>
            <c:showLegendKey val="0"/>
            <c:showVal val="0"/>
            <c:showCatName val="1"/>
            <c:showSerName val="0"/>
            <c:showPercent val="1"/>
            <c:showBubbleSize val="0"/>
            <c:showLeaderLines val="1"/>
          </c:dLbls>
          <c:cat>
            <c:strRef>
              <c:f>Sheet1!$B$1:$D$1</c:f>
              <c:strCache>
                <c:ptCount val="3"/>
                <c:pt idx="0">
                  <c:v>Investment in Capital</c:v>
                </c:pt>
                <c:pt idx="1">
                  <c:v>Restricted</c:v>
                </c:pt>
                <c:pt idx="2">
                  <c:v>Unrestricted</c:v>
                </c:pt>
              </c:strCache>
            </c:strRef>
          </c:cat>
          <c:val>
            <c:numRef>
              <c:f>Sheet1!$B$2:$D$2</c:f>
              <c:numCache>
                <c:formatCode>General</c:formatCode>
                <c:ptCount val="3"/>
                <c:pt idx="0">
                  <c:v>4088645</c:v>
                </c:pt>
                <c:pt idx="1">
                  <c:v>225337</c:v>
                </c:pt>
                <c:pt idx="2">
                  <c:v>1416174</c:v>
                </c:pt>
              </c:numCache>
            </c:numRef>
          </c:val>
        </c:ser>
        <c:dLbls>
          <c:showLegendKey val="0"/>
          <c:showVal val="0"/>
          <c:showCatName val="1"/>
          <c:showSerName val="0"/>
          <c:showPercent val="1"/>
          <c:showBubbleSize val="0"/>
          <c:showLeaderLines val="1"/>
        </c:dLbls>
      </c:pie3DChart>
      <c:spPr>
        <a:solidFill>
          <a:srgbClr val="FFFFFF"/>
        </a:solidFill>
        <a:ln w="12650">
          <a:solidFill>
            <a:srgbClr val="FFFFFF"/>
          </a:solidFill>
          <a:prstDash val="solid"/>
        </a:ln>
      </c:spPr>
    </c:plotArea>
    <c:plotVisOnly val="1"/>
    <c:dispBlanksAs val="zero"/>
    <c:showDLblsOverMax val="0"/>
  </c:chart>
  <c:spPr>
    <a:noFill/>
    <a:ln>
      <a:noFill/>
    </a:ln>
  </c:spPr>
  <c:txPr>
    <a:bodyPr/>
    <a:lstStyle/>
    <a:p>
      <a:pPr>
        <a:defRPr sz="896" b="1"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anchorCtr="1"/>
          <a:lstStyle/>
          <a:p>
            <a:pPr>
              <a:defRPr sz="1201" b="1" i="0" u="none" strike="noStrike" baseline="0">
                <a:solidFill>
                  <a:srgbClr val="000000"/>
                </a:solidFill>
                <a:latin typeface="Calibri"/>
                <a:ea typeface="Calibri"/>
                <a:cs typeface="Calibri"/>
              </a:defRPr>
            </a:pPr>
            <a:r>
              <a:rPr lang="en-US"/>
              <a:t>
Governmental Expenditures by Function</a:t>
            </a:r>
          </a:p>
        </c:rich>
      </c:tx>
      <c:layout>
        <c:manualLayout>
          <c:xMode val="edge"/>
          <c:yMode val="edge"/>
          <c:x val="0.30290484415152941"/>
          <c:y val="0"/>
        </c:manualLayout>
      </c:layout>
      <c:overlay val="0"/>
      <c:spPr>
        <a:noFill/>
        <a:ln w="25418">
          <a:noFill/>
        </a:ln>
      </c:spPr>
    </c:title>
    <c:autoTitleDeleted val="0"/>
    <c:view3D>
      <c:rotX val="30"/>
      <c:rotY val="144"/>
      <c:rAngAx val="0"/>
      <c:perspective val="0"/>
    </c:view3D>
    <c:floor>
      <c:thickness val="0"/>
    </c:floor>
    <c:sideWall>
      <c:thickness val="0"/>
    </c:sideWall>
    <c:backWall>
      <c:thickness val="0"/>
    </c:backWall>
    <c:plotArea>
      <c:layout>
        <c:manualLayout>
          <c:layoutTarget val="inner"/>
          <c:xMode val="edge"/>
          <c:yMode val="edge"/>
          <c:x val="8.5271317829457363E-2"/>
          <c:y val="0.21804511278195488"/>
          <c:w val="0.48992248062015503"/>
          <c:h val="0.74436090225563911"/>
        </c:manualLayout>
      </c:layout>
      <c:pie3DChart>
        <c:varyColors val="1"/>
        <c:ser>
          <c:idx val="0"/>
          <c:order val="0"/>
          <c:tx>
            <c:strRef>
              <c:f>Sheet1!$A$2</c:f>
              <c:strCache>
                <c:ptCount val="1"/>
                <c:pt idx="0">
                  <c:v>Expenditres</c:v>
                </c:pt>
              </c:strCache>
            </c:strRef>
          </c:tx>
          <c:spPr>
            <a:ln w="25400">
              <a:solidFill>
                <a:srgbClr val="000000"/>
              </a:solidFill>
              <a:prstDash val="solid"/>
            </a:ln>
          </c:spPr>
          <c:explosion val="26"/>
          <c:dPt>
            <c:idx val="0"/>
            <c:bubble3D val="0"/>
            <c:spPr>
              <a:solidFill>
                <a:srgbClr val="008000"/>
              </a:solidFill>
              <a:ln w="25400">
                <a:solidFill>
                  <a:srgbClr val="000000"/>
                </a:solidFill>
                <a:prstDash val="solid"/>
              </a:ln>
            </c:spPr>
          </c:dPt>
          <c:dPt>
            <c:idx val="1"/>
            <c:bubble3D val="0"/>
            <c:spPr>
              <a:solidFill>
                <a:srgbClr val="FF6600"/>
              </a:solidFill>
              <a:ln w="25400">
                <a:solidFill>
                  <a:srgbClr val="000000"/>
                </a:solidFill>
                <a:prstDash val="solid"/>
              </a:ln>
            </c:spPr>
          </c:dPt>
          <c:dPt>
            <c:idx val="2"/>
            <c:bubble3D val="0"/>
            <c:spPr>
              <a:solidFill>
                <a:srgbClr val="FFFF00"/>
              </a:solidFill>
              <a:ln w="25400">
                <a:solidFill>
                  <a:srgbClr val="000000"/>
                </a:solidFill>
                <a:prstDash val="solid"/>
              </a:ln>
            </c:spPr>
          </c:dPt>
          <c:dPt>
            <c:idx val="3"/>
            <c:bubble3D val="0"/>
            <c:spPr>
              <a:solidFill>
                <a:srgbClr val="FFFFFF"/>
              </a:solidFill>
              <a:ln w="25400">
                <a:solidFill>
                  <a:srgbClr val="000000"/>
                </a:solidFill>
                <a:prstDash val="solid"/>
              </a:ln>
            </c:spPr>
          </c:dPt>
          <c:dPt>
            <c:idx val="4"/>
            <c:bubble3D val="0"/>
            <c:spPr>
              <a:solidFill>
                <a:srgbClr val="0000FF"/>
              </a:solidFill>
              <a:ln w="25400">
                <a:solidFill>
                  <a:srgbClr val="000000"/>
                </a:solidFill>
                <a:prstDash val="solid"/>
              </a:ln>
            </c:spPr>
          </c:dPt>
          <c:dPt>
            <c:idx val="5"/>
            <c:bubble3D val="0"/>
            <c:spPr>
              <a:solidFill>
                <a:srgbClr val="FF0000"/>
              </a:solidFill>
              <a:ln w="25400">
                <a:solidFill>
                  <a:srgbClr val="000000"/>
                </a:solidFill>
                <a:prstDash val="solid"/>
              </a:ln>
            </c:spPr>
          </c:dPt>
          <c:dLbls>
            <c:dLbl>
              <c:idx val="0"/>
              <c:layout>
                <c:manualLayout>
                  <c:x val="1.9094477278312122E-2"/>
                  <c:y val="-0.27238800843324007"/>
                </c:manualLayout>
              </c:layout>
              <c:dLblPos val="bestFit"/>
              <c:showLegendKey val="0"/>
              <c:showVal val="0"/>
              <c:showCatName val="0"/>
              <c:showSerName val="0"/>
              <c:showPercent val="1"/>
              <c:showBubbleSize val="0"/>
            </c:dLbl>
            <c:dLbl>
              <c:idx val="1"/>
              <c:layout>
                <c:manualLayout>
                  <c:x val="2.1268272616041743E-2"/>
                  <c:y val="-0.14253000258004631"/>
                </c:manualLayout>
              </c:layout>
              <c:dLblPos val="bestFit"/>
              <c:showLegendKey val="0"/>
              <c:showVal val="0"/>
              <c:showCatName val="0"/>
              <c:showSerName val="0"/>
              <c:showPercent val="1"/>
              <c:showBubbleSize val="0"/>
            </c:dLbl>
            <c:dLbl>
              <c:idx val="2"/>
              <c:layout>
                <c:manualLayout>
                  <c:x val="6.0827503172587817E-2"/>
                  <c:y val="-0.17612098432583695"/>
                </c:manualLayout>
              </c:layout>
              <c:dLblPos val="bestFit"/>
              <c:showLegendKey val="0"/>
              <c:showVal val="0"/>
              <c:showCatName val="0"/>
              <c:showSerName val="0"/>
              <c:showPercent val="1"/>
              <c:showBubbleSize val="0"/>
            </c:dLbl>
            <c:dLbl>
              <c:idx val="3"/>
              <c:layout>
                <c:manualLayout>
                  <c:x val="0.10815616981426465"/>
                  <c:y val="-0.11238010036227505"/>
                </c:manualLayout>
              </c:layout>
              <c:dLblPos val="bestFit"/>
              <c:showLegendKey val="0"/>
              <c:showVal val="0"/>
              <c:showCatName val="0"/>
              <c:showSerName val="0"/>
              <c:showPercent val="1"/>
              <c:showBubbleSize val="0"/>
            </c:dLbl>
            <c:dLbl>
              <c:idx val="4"/>
              <c:layout>
                <c:manualLayout>
                  <c:x val="6.4616987513732391E-2"/>
                  <c:y val="3.0203335129696945E-2"/>
                </c:manualLayout>
              </c:layout>
              <c:dLblPos val="bestFit"/>
              <c:showLegendKey val="0"/>
              <c:showVal val="0"/>
              <c:showCatName val="0"/>
              <c:showSerName val="0"/>
              <c:showPercent val="1"/>
              <c:showBubbleSize val="0"/>
            </c:dLbl>
            <c:dLbl>
              <c:idx val="5"/>
              <c:layout>
                <c:manualLayout>
                  <c:xMode val="edge"/>
                  <c:yMode val="edge"/>
                  <c:x val="0.27286821705426356"/>
                  <c:y val="0.22180451127819548"/>
                </c:manualLayout>
              </c:layout>
              <c:dLblPos val="bestFit"/>
              <c:showLegendKey val="0"/>
              <c:showVal val="0"/>
              <c:showCatName val="0"/>
              <c:showSerName val="0"/>
              <c:showPercent val="1"/>
              <c:showBubbleSize val="0"/>
            </c:dLbl>
            <c:numFmt formatCode="0%" sourceLinked="0"/>
            <c:spPr>
              <a:noFill/>
              <a:ln w="25418">
                <a:noFill/>
              </a:ln>
            </c:spPr>
            <c:txPr>
              <a:bodyPr/>
              <a:lstStyle/>
              <a:p>
                <a:pPr>
                  <a:defRPr sz="1076" b="0" i="0" u="none" strike="noStrike" baseline="0">
                    <a:solidFill>
                      <a:srgbClr val="000000"/>
                    </a:solidFill>
                    <a:latin typeface="Calibri"/>
                    <a:ea typeface="Calibri"/>
                    <a:cs typeface="Calibri"/>
                  </a:defRPr>
                </a:pPr>
                <a:endParaRPr lang="en-US"/>
              </a:p>
            </c:txPr>
            <c:showLegendKey val="0"/>
            <c:showVal val="0"/>
            <c:showCatName val="0"/>
            <c:showSerName val="0"/>
            <c:showPercent val="1"/>
            <c:showBubbleSize val="0"/>
            <c:showLeaderLines val="1"/>
          </c:dLbls>
          <c:cat>
            <c:strRef>
              <c:f>Sheet1!$B$1:$F$1</c:f>
              <c:strCache>
                <c:ptCount val="5"/>
                <c:pt idx="0">
                  <c:v>Instructional &amp; Student Services</c:v>
                </c:pt>
                <c:pt idx="1">
                  <c:v>General Admin</c:v>
                </c:pt>
                <c:pt idx="2">
                  <c:v>Facilities M&amp;O</c:v>
                </c:pt>
                <c:pt idx="3">
                  <c:v>Data Processing</c:v>
                </c:pt>
                <c:pt idx="4">
                  <c:v>Other</c:v>
                </c:pt>
              </c:strCache>
            </c:strRef>
          </c:cat>
          <c:val>
            <c:numRef>
              <c:f>Sheet1!$B$2:$F$2</c:f>
              <c:numCache>
                <c:formatCode>General</c:formatCode>
                <c:ptCount val="5"/>
                <c:pt idx="0">
                  <c:v>4068593</c:v>
                </c:pt>
                <c:pt idx="1">
                  <c:v>486726</c:v>
                </c:pt>
                <c:pt idx="2">
                  <c:v>677891</c:v>
                </c:pt>
                <c:pt idx="3">
                  <c:v>103960</c:v>
                </c:pt>
                <c:pt idx="4">
                  <c:v>139131</c:v>
                </c:pt>
              </c:numCache>
            </c:numRef>
          </c:val>
        </c:ser>
        <c:ser>
          <c:idx val="1"/>
          <c:order val="1"/>
          <c:tx>
            <c:strRef>
              <c:f>Sheet1!$A$3</c:f>
              <c:strCache>
                <c:ptCount val="1"/>
              </c:strCache>
            </c:strRef>
          </c:tx>
          <c:spPr>
            <a:solidFill>
              <a:srgbClr val="993366"/>
            </a:solidFill>
            <a:ln w="12709">
              <a:solidFill>
                <a:srgbClr val="000000"/>
              </a:solidFill>
              <a:prstDash val="solid"/>
            </a:ln>
          </c:spPr>
          <c:explosion val="29"/>
          <c:dPt>
            <c:idx val="0"/>
            <c:bubble3D val="0"/>
            <c:spPr>
              <a:solidFill>
                <a:srgbClr val="9999FF"/>
              </a:solidFill>
              <a:ln w="12709">
                <a:solidFill>
                  <a:srgbClr val="000000"/>
                </a:solidFill>
                <a:prstDash val="solid"/>
              </a:ln>
            </c:spPr>
          </c:dPt>
          <c:dPt>
            <c:idx val="1"/>
            <c:bubble3D val="0"/>
          </c:dPt>
          <c:dPt>
            <c:idx val="2"/>
            <c:bubble3D val="0"/>
            <c:spPr>
              <a:solidFill>
                <a:srgbClr val="FFFFCC"/>
              </a:solidFill>
              <a:ln w="12709">
                <a:solidFill>
                  <a:srgbClr val="000000"/>
                </a:solidFill>
                <a:prstDash val="solid"/>
              </a:ln>
            </c:spPr>
          </c:dPt>
          <c:dPt>
            <c:idx val="3"/>
            <c:bubble3D val="0"/>
            <c:spPr>
              <a:solidFill>
                <a:srgbClr val="CCFFFF"/>
              </a:solidFill>
              <a:ln w="12709">
                <a:solidFill>
                  <a:srgbClr val="000000"/>
                </a:solidFill>
                <a:prstDash val="solid"/>
              </a:ln>
            </c:spPr>
          </c:dPt>
          <c:dPt>
            <c:idx val="4"/>
            <c:bubble3D val="0"/>
            <c:spPr>
              <a:solidFill>
                <a:srgbClr val="660066"/>
              </a:solidFill>
              <a:ln w="12709">
                <a:solidFill>
                  <a:srgbClr val="000000"/>
                </a:solidFill>
                <a:prstDash val="solid"/>
              </a:ln>
            </c:spPr>
          </c:dPt>
          <c:dLbls>
            <c:numFmt formatCode="0%" sourceLinked="0"/>
            <c:spPr>
              <a:noFill/>
              <a:ln w="25418">
                <a:noFill/>
              </a:ln>
            </c:spPr>
            <c:txPr>
              <a:bodyPr/>
              <a:lstStyle/>
              <a:p>
                <a:pPr>
                  <a:defRPr sz="1901" b="1" i="0" u="none" strike="noStrike" baseline="0">
                    <a:solidFill>
                      <a:srgbClr val="000000"/>
                    </a:solidFill>
                    <a:latin typeface="Calibri"/>
                    <a:ea typeface="Calibri"/>
                    <a:cs typeface="Calibri"/>
                  </a:defRPr>
                </a:pPr>
                <a:endParaRPr lang="en-US"/>
              </a:p>
            </c:txPr>
            <c:showLegendKey val="0"/>
            <c:showVal val="0"/>
            <c:showCatName val="0"/>
            <c:showSerName val="0"/>
            <c:showPercent val="1"/>
            <c:showBubbleSize val="0"/>
            <c:showLeaderLines val="1"/>
          </c:dLbls>
          <c:cat>
            <c:strRef>
              <c:f>Sheet1!$B$1:$F$1</c:f>
              <c:strCache>
                <c:ptCount val="5"/>
                <c:pt idx="0">
                  <c:v>Instructional &amp; Student Services</c:v>
                </c:pt>
                <c:pt idx="1">
                  <c:v>General Admin</c:v>
                </c:pt>
                <c:pt idx="2">
                  <c:v>Facilities M&amp;O</c:v>
                </c:pt>
                <c:pt idx="3">
                  <c:v>Data Processing</c:v>
                </c:pt>
                <c:pt idx="4">
                  <c:v>Other</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709">
              <a:solidFill>
                <a:srgbClr val="000000"/>
              </a:solidFill>
              <a:prstDash val="solid"/>
            </a:ln>
          </c:spPr>
          <c:explosion val="29"/>
          <c:dPt>
            <c:idx val="0"/>
            <c:bubble3D val="0"/>
            <c:spPr>
              <a:solidFill>
                <a:srgbClr val="9999FF"/>
              </a:solidFill>
              <a:ln w="12709">
                <a:solidFill>
                  <a:srgbClr val="000000"/>
                </a:solidFill>
                <a:prstDash val="solid"/>
              </a:ln>
            </c:spPr>
          </c:dPt>
          <c:dPt>
            <c:idx val="1"/>
            <c:bubble3D val="0"/>
            <c:spPr>
              <a:solidFill>
                <a:srgbClr val="993366"/>
              </a:solidFill>
              <a:ln w="12709">
                <a:solidFill>
                  <a:srgbClr val="000000"/>
                </a:solidFill>
                <a:prstDash val="solid"/>
              </a:ln>
            </c:spPr>
          </c:dPt>
          <c:dPt>
            <c:idx val="2"/>
            <c:bubble3D val="0"/>
          </c:dPt>
          <c:dPt>
            <c:idx val="3"/>
            <c:bubble3D val="0"/>
            <c:spPr>
              <a:solidFill>
                <a:srgbClr val="CCFFFF"/>
              </a:solidFill>
              <a:ln w="12709">
                <a:solidFill>
                  <a:srgbClr val="000000"/>
                </a:solidFill>
                <a:prstDash val="solid"/>
              </a:ln>
            </c:spPr>
          </c:dPt>
          <c:dPt>
            <c:idx val="4"/>
            <c:bubble3D val="0"/>
            <c:spPr>
              <a:solidFill>
                <a:srgbClr val="660066"/>
              </a:solidFill>
              <a:ln w="12709">
                <a:solidFill>
                  <a:srgbClr val="000000"/>
                </a:solidFill>
                <a:prstDash val="solid"/>
              </a:ln>
            </c:spPr>
          </c:dPt>
          <c:dLbls>
            <c:numFmt formatCode="0%" sourceLinked="0"/>
            <c:spPr>
              <a:noFill/>
              <a:ln w="25418">
                <a:noFill/>
              </a:ln>
            </c:spPr>
            <c:txPr>
              <a:bodyPr/>
              <a:lstStyle/>
              <a:p>
                <a:pPr>
                  <a:defRPr sz="1901" b="1" i="0" u="none" strike="noStrike" baseline="0">
                    <a:solidFill>
                      <a:srgbClr val="000000"/>
                    </a:solidFill>
                    <a:latin typeface="Calibri"/>
                    <a:ea typeface="Calibri"/>
                    <a:cs typeface="Calibri"/>
                  </a:defRPr>
                </a:pPr>
                <a:endParaRPr lang="en-US"/>
              </a:p>
            </c:txPr>
            <c:showLegendKey val="0"/>
            <c:showVal val="0"/>
            <c:showCatName val="0"/>
            <c:showSerName val="0"/>
            <c:showPercent val="1"/>
            <c:showBubbleSize val="0"/>
            <c:showLeaderLines val="1"/>
          </c:dLbls>
          <c:cat>
            <c:strRef>
              <c:f>Sheet1!$B$1:$F$1</c:f>
              <c:strCache>
                <c:ptCount val="5"/>
                <c:pt idx="0">
                  <c:v>Instructional &amp; Student Services</c:v>
                </c:pt>
                <c:pt idx="1">
                  <c:v>General Admin</c:v>
                </c:pt>
                <c:pt idx="2">
                  <c:v>Facilities M&amp;O</c:v>
                </c:pt>
                <c:pt idx="3">
                  <c:v>Data Processing</c:v>
                </c:pt>
                <c:pt idx="4">
                  <c:v>Other</c:v>
                </c:pt>
              </c:strCache>
            </c:strRef>
          </c:cat>
          <c:val>
            <c:numRef>
              <c:f>Sheet1!$B$4:$F$4</c:f>
              <c:numCache>
                <c:formatCode>General</c:formatCode>
                <c:ptCount val="5"/>
              </c:numCache>
            </c:numRef>
          </c:val>
        </c:ser>
        <c:dLbls>
          <c:showLegendKey val="0"/>
          <c:showVal val="0"/>
          <c:showCatName val="0"/>
          <c:showSerName val="0"/>
          <c:showPercent val="1"/>
          <c:showBubbleSize val="0"/>
          <c:showLeaderLines val="1"/>
        </c:dLbls>
      </c:pie3DChart>
      <c:spPr>
        <a:solidFill>
          <a:srgbClr val="FFFFFF"/>
        </a:solidFill>
        <a:ln w="25418">
          <a:noFill/>
        </a:ln>
      </c:spPr>
    </c:plotArea>
    <c:legend>
      <c:legendPos val="r"/>
      <c:layout>
        <c:manualLayout>
          <c:xMode val="edge"/>
          <c:yMode val="edge"/>
          <c:x val="0.76267793644187665"/>
          <c:y val="0.16927889995374235"/>
          <c:w val="0.1782393604665134"/>
          <c:h val="0.75704207612815966"/>
        </c:manualLayout>
      </c:layout>
      <c:overlay val="0"/>
      <c:spPr>
        <a:noFill/>
        <a:ln w="0">
          <a:solidFill>
            <a:srgbClr val="000000"/>
          </a:solidFill>
          <a:prstDash val="solid"/>
        </a:ln>
      </c:spPr>
      <c:txPr>
        <a:bodyPr/>
        <a:lstStyle/>
        <a:p>
          <a:pPr>
            <a:defRPr sz="826" b="1" i="0" u="none" strike="noStrike" baseline="0">
              <a:solidFill>
                <a:srgbClr val="000000"/>
              </a:solidFill>
              <a:latin typeface="Calibri"/>
              <a:ea typeface="Calibri"/>
              <a:cs typeface="Calibri"/>
            </a:defRPr>
          </a:pPr>
          <a:endParaRPr lang="en-US"/>
        </a:p>
      </c:txPr>
    </c:legend>
    <c:plotVisOnly val="1"/>
    <c:dispBlanksAs val="zero"/>
    <c:showDLblsOverMax val="0"/>
  </c:chart>
  <c:spPr>
    <a:noFill/>
    <a:ln>
      <a:noFill/>
    </a:ln>
  </c:spPr>
  <c:txPr>
    <a:bodyPr/>
    <a:lstStyle/>
    <a:p>
      <a:pPr>
        <a:defRPr sz="1176"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E5A61-815B-47C3-9A54-C44F4E4FE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csatmpl</Template>
  <TotalTime>35</TotalTime>
  <Pages>7</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Management’s Discussion and Analysis</vt:lpstr>
    </vt:vector>
  </TitlesOfParts>
  <Company>Microsoft</Company>
  <LinksUpToDate>false</LinksUpToDate>
  <CharactersWithSpaces>13464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Management’s Discussion and Analysis</dc:title>
  <dc:creator>Humble Independent School District</dc:creator>
  <cp:lastModifiedBy>Cindy Rucker</cp:lastModifiedBy>
  <cp:revision>5</cp:revision>
  <cp:lastPrinted>2015-11-13T15:07:00Z</cp:lastPrinted>
  <dcterms:created xsi:type="dcterms:W3CDTF">2015-11-09T12:44:00Z</dcterms:created>
  <dcterms:modified xsi:type="dcterms:W3CDTF">2015-11-13T20:19:00Z</dcterms:modified>
</cp:coreProperties>
</file>