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Course/Department: English III/ELA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Course Description: This course is designed to enhance the basic foundations of grammar, composition, literature, nonfiction, speaking, and listening attained in English I and English II. There will also be a focus upon reinforcing and developing English and Reading ACT skills for the required ACT, which is administered to all juniors as a graduation requirement.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Grading scale: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90-100 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80-89   B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70-79   C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60-69   D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*Honors courses will have 3 points added to their average at the end of each grading period.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Texts: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myPerspectives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English Language Arts Grade 11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required readings: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Glass Castle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Jeannette Walls,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Of Mice and Men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John Steinbeck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Into the Wild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Jon Krakauer 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Tuesdays with Morrie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Mitch Albom.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Assignments: Various reading and writing assignments aligned with TN state standards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Procedures for Parent Access to Student Progress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Skyward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Classroom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instructor: pratersara@warrenschools.com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 Standards: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https://www.tn.gov/education/districts/academic-standards/english-language-arts-standards.html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H. Grading: 50 percent test grades/50 percent quiz/assignment/daily grades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Students should be present and on time. If a student is absent, it is the responsibility of the student to take measures to make up work.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Make up policy: Directions for making up missed work will be posted to Google Classroom. Please check Google Classroom first; then ask the teacher for clarification or materials.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 School policy or changes to school policy guide and/or supersede this syllabus.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  <w:t xml:space="preserve">English III Syllabus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2024-2025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  <w:t xml:space="preserve">Warren County High School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  <w:t xml:space="preserve">(931) 668-5858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n.gov/education/districts/academic-standards/english-language-arts-standards.html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