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F4" w:rsidRPr="001820F4" w:rsidRDefault="001820F4" w:rsidP="001820F4">
      <w:pPr>
        <w:shd w:val="clear" w:color="auto" w:fill="FFFFFF"/>
        <w:spacing w:after="120" w:line="235" w:lineRule="atLeast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The Gates Scholarship</w:t>
      </w:r>
    </w:p>
    <w:p w:rsidR="001820F4" w:rsidRPr="001820F4" w:rsidRDefault="001820F4" w:rsidP="001820F4">
      <w:pPr>
        <w:shd w:val="clear" w:color="auto" w:fill="FFFFFF"/>
        <w:spacing w:after="120" w:line="235" w:lineRule="atLeast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color w:val="222222"/>
        </w:rPr>
        <w:t>The Gates Scholarship (TGS) is a highly selective, last-dollar scholarship for outstanding, minority, high school seniors from low-income households. Each year, the scholarship is awarded to 300 of these student leaders, with the intent of helping them realize their maximum potential.</w:t>
      </w:r>
    </w:p>
    <w:p w:rsidR="001820F4" w:rsidRPr="001820F4" w:rsidRDefault="001820F4" w:rsidP="001820F4">
      <w:pPr>
        <w:shd w:val="clear" w:color="auto" w:fill="FFFFFF"/>
        <w:spacing w:after="120" w:line="235" w:lineRule="atLeast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color w:val="222222"/>
        </w:rPr>
        <w:t>Selected </w:t>
      </w:r>
      <w:r w:rsidRPr="001820F4">
        <w:rPr>
          <w:rFonts w:ascii="Arial" w:eastAsia="Times New Roman" w:hAnsi="Arial" w:cs="Arial"/>
          <w:b/>
          <w:bCs/>
          <w:color w:val="222222"/>
        </w:rPr>
        <w:t xml:space="preserve">Scholars will receive funding for the full cost of attendance to earn a bachelor’s </w:t>
      </w:r>
      <w:proofErr w:type="gramStart"/>
      <w:r w:rsidRPr="001820F4">
        <w:rPr>
          <w:rFonts w:ascii="Arial" w:eastAsia="Times New Roman" w:hAnsi="Arial" w:cs="Arial"/>
          <w:b/>
          <w:bCs/>
          <w:color w:val="222222"/>
        </w:rPr>
        <w:t>degree</w:t>
      </w:r>
      <w:r w:rsidRPr="001820F4">
        <w:rPr>
          <w:rFonts w:ascii="Arial" w:eastAsia="Times New Roman" w:hAnsi="Arial" w:cs="Arial"/>
          <w:color w:val="222222"/>
        </w:rPr>
        <w:t>, that</w:t>
      </w:r>
      <w:proofErr w:type="gramEnd"/>
      <w:r w:rsidRPr="001820F4">
        <w:rPr>
          <w:rFonts w:ascii="Arial" w:eastAsia="Times New Roman" w:hAnsi="Arial" w:cs="Arial"/>
          <w:color w:val="222222"/>
        </w:rPr>
        <w:t xml:space="preserve"> is not already covered by other financial aid and the expected family contribution, as determined by the Free Application for Federal Student Aid (FAFSA), or the methodology used by a Scholar’s college or university. Costs covered include tuition, fees, books, and room and board, and may also include some additional personal costs.</w:t>
      </w:r>
    </w:p>
    <w:p w:rsidR="001820F4" w:rsidRPr="001820F4" w:rsidRDefault="001820F4" w:rsidP="001820F4">
      <w:pPr>
        <w:shd w:val="clear" w:color="auto" w:fill="FFFFFF"/>
        <w:spacing w:after="120" w:line="235" w:lineRule="atLeast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b/>
          <w:bCs/>
          <w:color w:val="222222"/>
        </w:rPr>
        <w:t>How to Refer Students</w:t>
      </w:r>
    </w:p>
    <w:p w:rsidR="001820F4" w:rsidRPr="001820F4" w:rsidRDefault="001820F4" w:rsidP="001820F4">
      <w:pPr>
        <w:shd w:val="clear" w:color="auto" w:fill="FFFFFF"/>
        <w:spacing w:after="120" w:line="235" w:lineRule="atLeast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color w:val="222222"/>
        </w:rPr>
        <w:t>If you know one or more students who meet our criteria, please click </w:t>
      </w:r>
      <w:hyperlink r:id="rId5" w:tgtFrame="_blank" w:history="1">
        <w:r w:rsidRPr="001820F4">
          <w:rPr>
            <w:rFonts w:ascii="Arial" w:eastAsia="Times New Roman" w:hAnsi="Arial" w:cs="Arial"/>
            <w:color w:val="0000FF"/>
            <w:u w:val="single"/>
          </w:rPr>
          <w:t>this link</w:t>
        </w:r>
      </w:hyperlink>
      <w:r w:rsidRPr="001820F4">
        <w:rPr>
          <w:rFonts w:ascii="Arial" w:eastAsia="Times New Roman" w:hAnsi="Arial" w:cs="Arial"/>
          <w:color w:val="222222"/>
        </w:rPr>
        <w:t> and follow the instructions provided. Please note that </w:t>
      </w:r>
      <w:r w:rsidRPr="001820F4">
        <w:rPr>
          <w:rFonts w:ascii="Arial" w:eastAsia="Times New Roman" w:hAnsi="Arial" w:cs="Arial"/>
          <w:b/>
          <w:bCs/>
          <w:color w:val="FF0000"/>
        </w:rPr>
        <w:t>Phase I of the application opened July 15, with a submission deadline of Wednesday, September 15, 2021, 5:00 PM PT</w:t>
      </w:r>
      <w:r w:rsidRPr="001820F4">
        <w:rPr>
          <w:rFonts w:ascii="Arial" w:eastAsia="Times New Roman" w:hAnsi="Arial" w:cs="Arial"/>
          <w:color w:val="222222"/>
        </w:rPr>
        <w:t>.</w:t>
      </w:r>
    </w:p>
    <w:p w:rsidR="001820F4" w:rsidRPr="001820F4" w:rsidRDefault="001820F4" w:rsidP="001820F4">
      <w:pPr>
        <w:shd w:val="clear" w:color="auto" w:fill="FFFFFF"/>
        <w:spacing w:after="120" w:line="345" w:lineRule="atLeast"/>
        <w:textAlignment w:val="baseline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Eligibility requirements:</w:t>
      </w:r>
    </w:p>
    <w:p w:rsidR="001820F4" w:rsidRPr="001820F4" w:rsidRDefault="001820F4" w:rsidP="001820F4">
      <w:pPr>
        <w:numPr>
          <w:ilvl w:val="0"/>
          <w:numId w:val="1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High school senior</w:t>
      </w:r>
    </w:p>
    <w:p w:rsidR="001820F4" w:rsidRPr="001820F4" w:rsidRDefault="001820F4" w:rsidP="001820F4">
      <w:pPr>
        <w:numPr>
          <w:ilvl w:val="0"/>
          <w:numId w:val="1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From at least one of the following ethnicities: African American, American Indian/Alaska Native*, Asian/Pacific Islander American, and/or Hispanic American</w:t>
      </w:r>
    </w:p>
    <w:p w:rsidR="001820F4" w:rsidRPr="001820F4" w:rsidRDefault="001820F4" w:rsidP="001820F4">
      <w:pPr>
        <w:numPr>
          <w:ilvl w:val="0"/>
          <w:numId w:val="1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Pell-eligible</w:t>
      </w:r>
    </w:p>
    <w:p w:rsidR="001820F4" w:rsidRPr="001820F4" w:rsidRDefault="001820F4" w:rsidP="001820F4">
      <w:pPr>
        <w:numPr>
          <w:ilvl w:val="0"/>
          <w:numId w:val="1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A US citizen, national, or permanent resident</w:t>
      </w:r>
    </w:p>
    <w:p w:rsidR="001820F4" w:rsidRPr="001820F4" w:rsidRDefault="001820F4" w:rsidP="001820F4">
      <w:pPr>
        <w:numPr>
          <w:ilvl w:val="0"/>
          <w:numId w:val="1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A minimum cumulative weighted GPA of 3.3 on a 4.0 scale (or equivalent)</w:t>
      </w:r>
    </w:p>
    <w:p w:rsidR="001820F4" w:rsidRPr="001820F4" w:rsidRDefault="001820F4" w:rsidP="001820F4">
      <w:pPr>
        <w:shd w:val="clear" w:color="auto" w:fill="FFFFFF"/>
        <w:spacing w:after="120" w:line="345" w:lineRule="atLeast"/>
        <w:textAlignment w:val="baseline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Additionally, a student must plan to enroll full-time, in a four-year degree program, at a US accredited, not-for-profit, private or </w:t>
      </w:r>
      <w:proofErr w:type="gramStart"/>
      <w:r w:rsidRPr="001820F4">
        <w:rPr>
          <w:rFonts w:ascii="Arial" w:eastAsia="Times New Roman" w:hAnsi="Arial" w:cs="Arial"/>
          <w:color w:val="222222"/>
          <w:bdr w:val="none" w:sz="0" w:space="0" w:color="auto" w:frame="1"/>
        </w:rPr>
        <w:t>public college</w:t>
      </w:r>
      <w:proofErr w:type="gramEnd"/>
      <w:r w:rsidRPr="001820F4">
        <w:rPr>
          <w:rFonts w:ascii="Arial" w:eastAsia="Times New Roman" w:hAnsi="Arial" w:cs="Arial"/>
          <w:color w:val="222222"/>
          <w:bdr w:val="none" w:sz="0" w:space="0" w:color="auto" w:frame="1"/>
        </w:rPr>
        <w:t xml:space="preserve"> or university.</w:t>
      </w: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br/>
      </w:r>
      <w:r w:rsidRPr="001820F4">
        <w:rPr>
          <w:rFonts w:ascii="Arial" w:eastAsia="Times New Roman" w:hAnsi="Arial" w:cs="Arial"/>
          <w:b/>
          <w:bCs/>
          <w:color w:val="222222"/>
          <w:bdr w:val="none" w:sz="0" w:space="0" w:color="auto" w:frame="1"/>
        </w:rPr>
        <w:t>An ideal candidate will also have:</w:t>
      </w:r>
    </w:p>
    <w:p w:rsidR="001820F4" w:rsidRPr="001820F4" w:rsidRDefault="001820F4" w:rsidP="001820F4">
      <w:pPr>
        <w:numPr>
          <w:ilvl w:val="0"/>
          <w:numId w:val="2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An outstanding high school academic record (e.g., be in the top 10 percent of his/her graduating class)</w:t>
      </w:r>
    </w:p>
    <w:p w:rsidR="001820F4" w:rsidRPr="001820F4" w:rsidRDefault="001820F4" w:rsidP="001820F4">
      <w:pPr>
        <w:numPr>
          <w:ilvl w:val="0"/>
          <w:numId w:val="2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Demonstrated leadership ability (e.g., as shown through participation in community service, and extracurricular, or other activities)</w:t>
      </w:r>
    </w:p>
    <w:p w:rsidR="001820F4" w:rsidRPr="001820F4" w:rsidRDefault="001820F4" w:rsidP="001820F4">
      <w:pPr>
        <w:numPr>
          <w:ilvl w:val="0"/>
          <w:numId w:val="2"/>
        </w:numPr>
        <w:shd w:val="clear" w:color="auto" w:fill="FFFFFF"/>
        <w:spacing w:after="0" w:line="345" w:lineRule="atLeast"/>
        <w:ind w:left="1440"/>
        <w:textAlignment w:val="baseline"/>
        <w:rPr>
          <w:rFonts w:ascii="Calibri" w:eastAsia="Times New Roman" w:hAnsi="Calibri" w:cs="Calibri"/>
          <w:color w:val="666666"/>
        </w:rPr>
      </w:pPr>
      <w:r w:rsidRPr="001820F4">
        <w:rPr>
          <w:rFonts w:ascii="Arial" w:eastAsia="Times New Roman" w:hAnsi="Arial" w:cs="Arial"/>
          <w:color w:val="666666"/>
          <w:bdr w:val="none" w:sz="0" w:space="0" w:color="auto" w:frame="1"/>
        </w:rPr>
        <w:t>Exceptional personal success skills (e.g., emotional maturity, motivation, perseverance, etc.)</w:t>
      </w:r>
    </w:p>
    <w:p w:rsidR="001820F4" w:rsidRPr="001820F4" w:rsidRDefault="001820F4" w:rsidP="001820F4">
      <w:pPr>
        <w:shd w:val="clear" w:color="auto" w:fill="FFFFFF"/>
        <w:spacing w:after="120" w:line="345" w:lineRule="atLeast"/>
        <w:textAlignment w:val="baseline"/>
        <w:rPr>
          <w:rFonts w:ascii="Calibri" w:eastAsia="Times New Roman" w:hAnsi="Calibri" w:cs="Calibri"/>
          <w:color w:val="222222"/>
        </w:rPr>
      </w:pPr>
      <w:r w:rsidRPr="001820F4">
        <w:rPr>
          <w:rFonts w:ascii="Arial" w:eastAsia="Times New Roman" w:hAnsi="Arial" w:cs="Arial"/>
          <w:color w:val="222222"/>
          <w:bdr w:val="none" w:sz="0" w:space="0" w:color="auto" w:frame="1"/>
        </w:rPr>
        <w:t>For additional information, please </w:t>
      </w:r>
      <w:hyperlink r:id="rId6" w:tgtFrame="_blank" w:history="1">
        <w:r w:rsidRPr="001820F4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visit our website</w:t>
        </w:r>
      </w:hyperlink>
      <w:r w:rsidRPr="001820F4">
        <w:rPr>
          <w:rFonts w:ascii="Arial" w:eastAsia="Times New Roman" w:hAnsi="Arial" w:cs="Arial"/>
          <w:color w:val="222222"/>
          <w:bdr w:val="none" w:sz="0" w:space="0" w:color="auto" w:frame="1"/>
        </w:rPr>
        <w:t>.</w:t>
      </w:r>
    </w:p>
    <w:p w:rsidR="009041F9" w:rsidRDefault="009041F9">
      <w:bookmarkStart w:id="0" w:name="_GoBack"/>
      <w:bookmarkEnd w:id="0"/>
    </w:p>
    <w:sectPr w:rsidR="0090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5C33"/>
    <w:multiLevelType w:val="multilevel"/>
    <w:tmpl w:val="D9C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EF0DA2"/>
    <w:multiLevelType w:val="multilevel"/>
    <w:tmpl w:val="649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F4"/>
    <w:rsid w:val="001820F4"/>
    <w:rsid w:val="009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9F21F-E8AB-4306-94E4-81BDC19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ho3.bluehornet.com/ct/58446185:WCsg3PdDN:m:1:2005362078:A22D0B151A86FD9FAC1A379503FA5A64:r" TargetMode="External"/><Relationship Id="rId5" Type="http://schemas.openxmlformats.org/officeDocument/2006/relationships/hyperlink" Target="https://www.thegatesscholarship.org/referr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USD_445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Northup, Delia</dc:creator>
  <cp:keywords/>
  <dc:description/>
  <cp:lastModifiedBy>Northup, Delia</cp:lastModifiedBy>
  <cp:revision>1</cp:revision>
  <dcterms:created xsi:type="dcterms:W3CDTF">2021-08-30T17:27:00Z</dcterms:created>
  <dcterms:modified xsi:type="dcterms:W3CDTF">2021-08-30T17:28:00Z</dcterms:modified>
</cp:coreProperties>
</file>