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45675" w14:textId="77777777" w:rsidR="00BE3AD8" w:rsidRDefault="00BE3AD8" w:rsidP="00E364AF">
      <w:pPr>
        <w:pStyle w:val="NoSpacing"/>
        <w:jc w:val="center"/>
        <w:rPr>
          <w:rFonts w:ascii="Arial Rounded MT Bold" w:hAnsi="Arial Rounded MT Bold"/>
          <w:color w:val="002060"/>
          <w:sz w:val="24"/>
          <w:szCs w:val="24"/>
        </w:rPr>
      </w:pPr>
    </w:p>
    <w:p w14:paraId="3638EF22" w14:textId="34914C99" w:rsidR="00C873C8" w:rsidRDefault="00AE7584" w:rsidP="00E364AF">
      <w:pPr>
        <w:pStyle w:val="NoSpacing"/>
        <w:jc w:val="center"/>
        <w:rPr>
          <w:rFonts w:ascii="Arial Rounded MT Bold" w:hAnsi="Arial Rounded MT Bold"/>
          <w:color w:val="002060"/>
          <w:sz w:val="24"/>
          <w:szCs w:val="24"/>
        </w:rPr>
      </w:pPr>
      <w:r w:rsidRPr="00AE7584">
        <w:rPr>
          <w:rFonts w:ascii="Arial Rounded MT Bold" w:hAnsi="Arial Rounded MT Bold"/>
          <w:color w:val="002060"/>
          <w:sz w:val="24"/>
          <w:szCs w:val="24"/>
        </w:rPr>
        <w:t>TECHE ACTION BOARD, INC. dba TECHE ACTION CLINIC</w:t>
      </w:r>
    </w:p>
    <w:p w14:paraId="08244989" w14:textId="04838C89" w:rsidR="00AE7584" w:rsidRDefault="00AE7584" w:rsidP="00AE7584">
      <w:pPr>
        <w:pStyle w:val="NoSpacing"/>
        <w:jc w:val="center"/>
        <w:rPr>
          <w:rFonts w:ascii="Arial Rounded MT Bold" w:hAnsi="Arial Rounded MT Bold"/>
          <w:color w:val="002060"/>
          <w:sz w:val="24"/>
          <w:szCs w:val="24"/>
        </w:rPr>
      </w:pPr>
      <w:r>
        <w:rPr>
          <w:rFonts w:ascii="Arial Rounded MT Bold" w:hAnsi="Arial Rounded MT Bold"/>
          <w:color w:val="002060"/>
          <w:sz w:val="24"/>
          <w:szCs w:val="24"/>
        </w:rPr>
        <w:t>1115 Weber Street</w:t>
      </w:r>
      <w:r w:rsidR="00B41F2C">
        <w:rPr>
          <w:rFonts w:ascii="Arial Rounded MT Bold" w:hAnsi="Arial Rounded MT Bold"/>
          <w:color w:val="002060"/>
          <w:sz w:val="24"/>
          <w:szCs w:val="24"/>
        </w:rPr>
        <w:t xml:space="preserve">, </w:t>
      </w:r>
      <w:r>
        <w:rPr>
          <w:rFonts w:ascii="Arial Rounded MT Bold" w:hAnsi="Arial Rounded MT Bold"/>
          <w:color w:val="002060"/>
          <w:sz w:val="24"/>
          <w:szCs w:val="24"/>
        </w:rPr>
        <w:t>Franklin, LA 70538</w:t>
      </w:r>
    </w:p>
    <w:p w14:paraId="7325BD05" w14:textId="77777777" w:rsidR="00AE7584" w:rsidRDefault="00AE7584" w:rsidP="00AE7584">
      <w:pPr>
        <w:pStyle w:val="NoSpacing"/>
        <w:jc w:val="center"/>
        <w:rPr>
          <w:rFonts w:ascii="Arial Rounded MT Bold" w:hAnsi="Arial Rounded MT Bold"/>
          <w:color w:val="002060"/>
          <w:sz w:val="24"/>
          <w:szCs w:val="24"/>
        </w:rPr>
      </w:pPr>
      <w:r>
        <w:rPr>
          <w:rFonts w:ascii="Arial Rounded MT Bold" w:hAnsi="Arial Rounded MT Bold"/>
          <w:color w:val="002060"/>
          <w:sz w:val="24"/>
          <w:szCs w:val="24"/>
        </w:rPr>
        <w:t>Phone: (337) 828-2550 / FAX: (337) 828-2873</w:t>
      </w:r>
    </w:p>
    <w:p w14:paraId="09D16820" w14:textId="77777777" w:rsidR="00AE7584" w:rsidRDefault="004E63B9" w:rsidP="00AE7584">
      <w:pPr>
        <w:pStyle w:val="NoSpacing"/>
        <w:jc w:val="center"/>
        <w:rPr>
          <w:rStyle w:val="Hyperlink"/>
          <w:rFonts w:ascii="Arial Rounded MT Bold" w:hAnsi="Arial Rounded MT Bold"/>
          <w:i/>
          <w:sz w:val="20"/>
          <w:szCs w:val="20"/>
        </w:rPr>
      </w:pPr>
      <w:hyperlink r:id="rId8" w:history="1">
        <w:r w:rsidR="00AE7584" w:rsidRPr="00582BF3">
          <w:rPr>
            <w:rStyle w:val="Hyperlink"/>
            <w:rFonts w:ascii="Arial Rounded MT Bold" w:hAnsi="Arial Rounded MT Bold"/>
            <w:i/>
            <w:sz w:val="20"/>
            <w:szCs w:val="20"/>
          </w:rPr>
          <w:t>www.tabhealth.org</w:t>
        </w:r>
      </w:hyperlink>
    </w:p>
    <w:p w14:paraId="7FCD2435" w14:textId="77777777" w:rsidR="00D64BBD" w:rsidRDefault="00D64BBD" w:rsidP="00AE7584">
      <w:pPr>
        <w:pStyle w:val="NoSpacing"/>
        <w:jc w:val="center"/>
        <w:rPr>
          <w:rStyle w:val="Hyperlink"/>
          <w:rFonts w:ascii="Arial Rounded MT Bold" w:hAnsi="Arial Rounded MT Bold"/>
          <w:i/>
          <w:sz w:val="20"/>
          <w:szCs w:val="20"/>
        </w:rPr>
      </w:pPr>
    </w:p>
    <w:p w14:paraId="34C08FB4" w14:textId="3128945B" w:rsidR="00D64BBD" w:rsidRDefault="003E00CA" w:rsidP="00AE7584">
      <w:pPr>
        <w:pStyle w:val="NoSpacing"/>
        <w:jc w:val="center"/>
        <w:rPr>
          <w:rFonts w:cstheme="minorHAnsi"/>
          <w:b/>
          <w:bCs/>
          <w:iCs/>
          <w:color w:val="002060"/>
          <w:sz w:val="24"/>
          <w:szCs w:val="24"/>
        </w:rPr>
      </w:pPr>
      <w:r>
        <w:rPr>
          <w:rFonts w:cstheme="minorHAnsi"/>
          <w:b/>
          <w:bCs/>
          <w:iCs/>
          <w:color w:val="002060"/>
          <w:sz w:val="24"/>
          <w:szCs w:val="24"/>
        </w:rPr>
        <w:t>EXPLANATION OF SERVICES AND FEES FOR SERVICES</w:t>
      </w:r>
    </w:p>
    <w:p w14:paraId="5C848728" w14:textId="77CB00DC" w:rsidR="003E00CA" w:rsidRPr="003E00CA" w:rsidRDefault="003E00CA" w:rsidP="00AE7584">
      <w:pPr>
        <w:pStyle w:val="NoSpacing"/>
        <w:jc w:val="center"/>
        <w:rPr>
          <w:rFonts w:cstheme="minorHAnsi"/>
          <w:b/>
          <w:bCs/>
          <w:iCs/>
          <w:color w:val="002060"/>
          <w:sz w:val="24"/>
          <w:szCs w:val="24"/>
        </w:rPr>
      </w:pPr>
      <w:r>
        <w:rPr>
          <w:rFonts w:cstheme="minorHAnsi"/>
          <w:b/>
          <w:bCs/>
          <w:iCs/>
          <w:color w:val="002060"/>
          <w:sz w:val="24"/>
          <w:szCs w:val="24"/>
        </w:rPr>
        <w:t>TECHE ACTION CLINIC</w:t>
      </w:r>
      <w:r w:rsidR="002264A1">
        <w:rPr>
          <w:rFonts w:cstheme="minorHAnsi"/>
          <w:b/>
          <w:bCs/>
          <w:iCs/>
          <w:color w:val="002060"/>
          <w:sz w:val="24"/>
          <w:szCs w:val="24"/>
        </w:rPr>
        <w:t xml:space="preserve"> – WEST ST. MARY HIGH SCHOOL-BASED HEALTH CENTER</w:t>
      </w:r>
    </w:p>
    <w:p w14:paraId="4194381E" w14:textId="77777777" w:rsidR="00AE7584" w:rsidRDefault="00AE7584" w:rsidP="00AE7584">
      <w:pPr>
        <w:pStyle w:val="NoSpacing"/>
        <w:jc w:val="center"/>
        <w:rPr>
          <w:rFonts w:ascii="Arial Rounded MT Bold" w:hAnsi="Arial Rounded MT Bold"/>
          <w:color w:val="002060"/>
        </w:rPr>
      </w:pPr>
    </w:p>
    <w:p w14:paraId="31384097" w14:textId="22D40D22" w:rsidR="00667046" w:rsidRDefault="00CC27C8" w:rsidP="004F7CBA">
      <w:pPr>
        <w:pStyle w:val="NoSpacing"/>
      </w:pPr>
      <w:r>
        <w:t xml:space="preserve">Teche Action Clinic </w:t>
      </w:r>
      <w:r w:rsidR="00B35B8F">
        <w:t>has partnered</w:t>
      </w:r>
      <w:r>
        <w:t xml:space="preserve"> with </w:t>
      </w:r>
      <w:r w:rsidR="00C7685F">
        <w:t xml:space="preserve">the </w:t>
      </w:r>
      <w:r w:rsidR="009A0034">
        <w:t>St. Mary</w:t>
      </w:r>
      <w:r>
        <w:t xml:space="preserve"> </w:t>
      </w:r>
      <w:r w:rsidR="009A0034">
        <w:t xml:space="preserve">Parish </w:t>
      </w:r>
      <w:r>
        <w:t>School District to offer healthcare services in the</w:t>
      </w:r>
      <w:r w:rsidR="00B35B8F">
        <w:t xml:space="preserve"> </w:t>
      </w:r>
      <w:r w:rsidR="009A0034">
        <w:rPr>
          <w:b/>
          <w:bCs/>
        </w:rPr>
        <w:t>West St. Mary</w:t>
      </w:r>
      <w:r w:rsidR="00D1551C">
        <w:rPr>
          <w:b/>
          <w:bCs/>
        </w:rPr>
        <w:t xml:space="preserve"> High </w:t>
      </w:r>
      <w:r w:rsidR="0041629B" w:rsidRPr="0041629B">
        <w:rPr>
          <w:b/>
          <w:bCs/>
        </w:rPr>
        <w:t>S</w:t>
      </w:r>
      <w:r w:rsidR="001D4A1E">
        <w:rPr>
          <w:b/>
          <w:bCs/>
        </w:rPr>
        <w:t>chool-</w:t>
      </w:r>
      <w:r w:rsidR="0041629B" w:rsidRPr="0041629B">
        <w:rPr>
          <w:b/>
          <w:bCs/>
        </w:rPr>
        <w:t>B</w:t>
      </w:r>
      <w:r w:rsidR="001D4A1E">
        <w:rPr>
          <w:b/>
          <w:bCs/>
        </w:rPr>
        <w:t xml:space="preserve">ased </w:t>
      </w:r>
      <w:r w:rsidR="0041629B" w:rsidRPr="0041629B">
        <w:rPr>
          <w:b/>
          <w:bCs/>
        </w:rPr>
        <w:t>H</w:t>
      </w:r>
      <w:r w:rsidR="001D4A1E">
        <w:rPr>
          <w:b/>
          <w:bCs/>
        </w:rPr>
        <w:t xml:space="preserve">ealth </w:t>
      </w:r>
      <w:r w:rsidR="0041629B" w:rsidRPr="0041629B">
        <w:rPr>
          <w:b/>
          <w:bCs/>
        </w:rPr>
        <w:t>C</w:t>
      </w:r>
      <w:r w:rsidR="001D4A1E">
        <w:rPr>
          <w:b/>
          <w:bCs/>
        </w:rPr>
        <w:t>enter</w:t>
      </w:r>
      <w:r w:rsidR="00580526">
        <w:rPr>
          <w:b/>
          <w:bCs/>
        </w:rPr>
        <w:t xml:space="preserve"> (SBHC)</w:t>
      </w:r>
      <w:r w:rsidR="00CF665C" w:rsidRPr="0041629B">
        <w:rPr>
          <w:b/>
          <w:bCs/>
        </w:rPr>
        <w:t>.</w:t>
      </w:r>
      <w:r w:rsidR="00CF665C">
        <w:rPr>
          <w:b/>
          <w:bCs/>
        </w:rPr>
        <w:t xml:space="preserve"> </w:t>
      </w:r>
      <w:r w:rsidR="006F0980" w:rsidRPr="006F0980">
        <w:rPr>
          <w:rFonts w:ascii="Calibri" w:eastAsia="Times New Roman" w:hAnsi="Calibri" w:cs="Calibri"/>
          <w14:ligatures w14:val="standardContextual"/>
        </w:rPr>
        <w:t xml:space="preserve">Teche Action Clinic has an agreement with the </w:t>
      </w:r>
      <w:r w:rsidR="006F0980">
        <w:rPr>
          <w:rFonts w:ascii="Calibri" w:eastAsia="Times New Roman" w:hAnsi="Calibri" w:cs="Calibri"/>
          <w14:ligatures w14:val="standardContextual"/>
        </w:rPr>
        <w:t>St. Mary</w:t>
      </w:r>
      <w:r w:rsidR="006F0980" w:rsidRPr="006F0980">
        <w:rPr>
          <w:rFonts w:ascii="Calibri" w:eastAsia="Times New Roman" w:hAnsi="Calibri" w:cs="Calibri"/>
          <w14:ligatures w14:val="standardContextual"/>
        </w:rPr>
        <w:t xml:space="preserve"> Parish School Board to provide quality, comprehensive, preventative, primary healthcare services to the students, faculty, and staff of </w:t>
      </w:r>
      <w:r w:rsidR="00445921">
        <w:rPr>
          <w:rFonts w:ascii="Calibri" w:eastAsia="Times New Roman" w:hAnsi="Calibri" w:cs="Calibri"/>
          <w14:ligatures w14:val="standardContextual"/>
        </w:rPr>
        <w:t>West St. Mary High and B.E.B Middle</w:t>
      </w:r>
      <w:r w:rsidR="006F0980" w:rsidRPr="006F0980">
        <w:rPr>
          <w:rFonts w:ascii="Calibri" w:eastAsia="Times New Roman" w:hAnsi="Calibri" w:cs="Calibri"/>
          <w14:ligatures w14:val="standardContextual"/>
        </w:rPr>
        <w:t xml:space="preserve"> School</w:t>
      </w:r>
      <w:r w:rsidR="00445921">
        <w:rPr>
          <w:rFonts w:ascii="Calibri" w:eastAsia="Times New Roman" w:hAnsi="Calibri" w:cs="Calibri"/>
          <w14:ligatures w14:val="standardContextual"/>
        </w:rPr>
        <w:t>s</w:t>
      </w:r>
      <w:r w:rsidR="006F0980" w:rsidRPr="006F0980">
        <w:rPr>
          <w:rFonts w:ascii="Calibri" w:eastAsia="Times New Roman" w:hAnsi="Calibri" w:cs="Calibri"/>
          <w14:ligatures w14:val="standardContextual"/>
        </w:rPr>
        <w:t xml:space="preserve"> and other students enrolled at most schools in the </w:t>
      </w:r>
      <w:r w:rsidR="00445921">
        <w:rPr>
          <w:rFonts w:ascii="Calibri" w:eastAsia="Times New Roman" w:hAnsi="Calibri" w:cs="Calibri"/>
          <w14:ligatures w14:val="standardContextual"/>
        </w:rPr>
        <w:t>St. Mary</w:t>
      </w:r>
      <w:r w:rsidR="006F0980" w:rsidRPr="006F0980">
        <w:rPr>
          <w:rFonts w:ascii="Calibri" w:eastAsia="Times New Roman" w:hAnsi="Calibri" w:cs="Calibri"/>
          <w14:ligatures w14:val="standardContextual"/>
        </w:rPr>
        <w:t xml:space="preserve"> Parish school district</w:t>
      </w:r>
      <w:r w:rsidR="00445921">
        <w:rPr>
          <w:rFonts w:ascii="Calibri" w:eastAsia="Times New Roman" w:hAnsi="Calibri" w:cs="Calibri"/>
          <w14:ligatures w14:val="standardContextual"/>
        </w:rPr>
        <w:t xml:space="preserve">. </w:t>
      </w:r>
      <w:r w:rsidR="00150251">
        <w:t xml:space="preserve">This </w:t>
      </w:r>
      <w:r w:rsidR="00A23203">
        <w:t xml:space="preserve">notice </w:t>
      </w:r>
      <w:r w:rsidR="00150251">
        <w:t xml:space="preserve">includes </w:t>
      </w:r>
      <w:r w:rsidR="0041629B">
        <w:t xml:space="preserve">information about the SBHC and </w:t>
      </w:r>
      <w:r w:rsidR="00480F9D">
        <w:t xml:space="preserve">its services, and </w:t>
      </w:r>
      <w:r w:rsidR="00150251">
        <w:t xml:space="preserve">enclosed </w:t>
      </w:r>
      <w:r w:rsidR="00B546D1">
        <w:t xml:space="preserve">are </w:t>
      </w:r>
      <w:r w:rsidR="00480F9D">
        <w:t>the Consent Form</w:t>
      </w:r>
      <w:r w:rsidR="00B546D1">
        <w:t xml:space="preserve"> and documents required</w:t>
      </w:r>
      <w:r w:rsidR="00480F9D">
        <w:t xml:space="preserve"> should you choose to enroll your child/children in the school-based health center</w:t>
      </w:r>
      <w:r w:rsidR="0041629B">
        <w:t xml:space="preserve">. </w:t>
      </w:r>
      <w:r w:rsidR="00012D69">
        <w:t xml:space="preserve">Enrolling your child in the SBHC </w:t>
      </w:r>
      <w:r w:rsidR="00E510C7">
        <w:t>does not r</w:t>
      </w:r>
      <w:r w:rsidR="00CA4830">
        <w:t>eplace</w:t>
      </w:r>
      <w:r w:rsidR="00225EE1">
        <w:t xml:space="preserve"> your current primary care provider. </w:t>
      </w:r>
    </w:p>
    <w:p w14:paraId="2D855787" w14:textId="7BD18DC2" w:rsidR="00E2375F" w:rsidRDefault="0041629B" w:rsidP="004F7CBA">
      <w:pPr>
        <w:pStyle w:val="NoSpacing"/>
      </w:pPr>
      <w:r w:rsidRPr="00F9127B">
        <w:rPr>
          <w:b/>
          <w:bCs/>
        </w:rPr>
        <w:t>Please keep this letter</w:t>
      </w:r>
      <w:r>
        <w:t xml:space="preserve"> and refer to it when you need to. If you have any questions, please contact </w:t>
      </w:r>
      <w:r w:rsidR="00D1551C">
        <w:t xml:space="preserve">Karla Vappie, </w:t>
      </w:r>
      <w:r>
        <w:t xml:space="preserve">the SBHC Director at </w:t>
      </w:r>
      <w:r w:rsidR="00B422D6">
        <w:t>(</w:t>
      </w:r>
      <w:r>
        <w:t>337</w:t>
      </w:r>
      <w:r w:rsidR="00B422D6">
        <w:t xml:space="preserve">) </w:t>
      </w:r>
      <w:r>
        <w:t>828-2550</w:t>
      </w:r>
      <w:r w:rsidR="00B422D6">
        <w:t>,</w:t>
      </w:r>
      <w:r>
        <w:t xml:space="preserve"> ext. 2</w:t>
      </w:r>
      <w:r w:rsidR="00D1551C">
        <w:t>236</w:t>
      </w:r>
      <w:r>
        <w:t>.</w:t>
      </w:r>
    </w:p>
    <w:p w14:paraId="3F267F94" w14:textId="77777777" w:rsidR="00C461E7" w:rsidRDefault="00C461E7" w:rsidP="004F7CBA">
      <w:pPr>
        <w:pStyle w:val="NoSpacing"/>
      </w:pPr>
    </w:p>
    <w:p w14:paraId="33F3DB41" w14:textId="77777777" w:rsidR="00C461E7" w:rsidRPr="00C461E7" w:rsidRDefault="00C461E7" w:rsidP="00C461E7">
      <w:pPr>
        <w:spacing w:after="0" w:line="240" w:lineRule="auto"/>
        <w:jc w:val="both"/>
        <w:rPr>
          <w:rFonts w:ascii="Calibri" w:eastAsia="Times New Roman" w:hAnsi="Calibri" w:cs="Times New Roman"/>
        </w:rPr>
      </w:pPr>
      <w:r w:rsidRPr="00C461E7">
        <w:rPr>
          <w:rFonts w:ascii="Calibri" w:eastAsia="Times New Roman" w:hAnsi="Calibri" w:cs="Times New Roman"/>
        </w:rPr>
        <w:t>Pursuant</w:t>
      </w:r>
      <w:r w:rsidRPr="00C461E7">
        <w:rPr>
          <w:rFonts w:ascii="Calibri" w:eastAsia="Times New Roman" w:hAnsi="Calibri" w:cs="Times New Roman"/>
          <w:spacing w:val="40"/>
        </w:rPr>
        <w:t xml:space="preserve"> </w:t>
      </w:r>
      <w:r w:rsidRPr="00C461E7">
        <w:rPr>
          <w:rFonts w:ascii="Calibri" w:eastAsia="Times New Roman" w:hAnsi="Calibri" w:cs="Times New Roman"/>
        </w:rPr>
        <w:t>to</w:t>
      </w:r>
      <w:r w:rsidRPr="00C461E7">
        <w:rPr>
          <w:rFonts w:ascii="Calibri" w:eastAsia="Times New Roman" w:hAnsi="Calibri" w:cs="Times New Roman"/>
          <w:spacing w:val="40"/>
        </w:rPr>
        <w:t xml:space="preserve"> </w:t>
      </w:r>
      <w:r w:rsidRPr="00C461E7">
        <w:rPr>
          <w:rFonts w:ascii="Calibri" w:eastAsia="Times New Roman" w:hAnsi="Calibri" w:cs="Times New Roman"/>
        </w:rPr>
        <w:t>Federal</w:t>
      </w:r>
      <w:r w:rsidRPr="00C461E7">
        <w:rPr>
          <w:rFonts w:ascii="Calibri" w:eastAsia="Times New Roman" w:hAnsi="Calibri" w:cs="Times New Roman"/>
          <w:spacing w:val="40"/>
        </w:rPr>
        <w:t xml:space="preserve"> </w:t>
      </w:r>
      <w:r w:rsidRPr="00C461E7">
        <w:rPr>
          <w:rFonts w:ascii="Calibri" w:eastAsia="Times New Roman" w:hAnsi="Calibri" w:cs="Times New Roman"/>
        </w:rPr>
        <w:t>law,</w:t>
      </w:r>
      <w:r w:rsidRPr="00C461E7">
        <w:rPr>
          <w:rFonts w:ascii="Calibri" w:eastAsia="Times New Roman" w:hAnsi="Calibri" w:cs="Times New Roman"/>
          <w:spacing w:val="40"/>
        </w:rPr>
        <w:t xml:space="preserve"> </w:t>
      </w:r>
      <w:r w:rsidRPr="00C461E7">
        <w:rPr>
          <w:rFonts w:ascii="Calibri" w:eastAsia="Times New Roman" w:hAnsi="Calibri" w:cs="Times New Roman"/>
        </w:rPr>
        <w:t>Teche</w:t>
      </w:r>
      <w:r w:rsidRPr="00C461E7">
        <w:rPr>
          <w:rFonts w:ascii="Calibri" w:eastAsia="Times New Roman" w:hAnsi="Calibri" w:cs="Times New Roman"/>
          <w:spacing w:val="80"/>
        </w:rPr>
        <w:t xml:space="preserve"> </w:t>
      </w:r>
      <w:r w:rsidRPr="00C461E7">
        <w:rPr>
          <w:rFonts w:ascii="Calibri" w:eastAsia="Times New Roman" w:hAnsi="Calibri" w:cs="Times New Roman"/>
        </w:rPr>
        <w:t>Action</w:t>
      </w:r>
      <w:r w:rsidRPr="00C461E7">
        <w:rPr>
          <w:rFonts w:ascii="Calibri" w:eastAsia="Times New Roman" w:hAnsi="Calibri" w:cs="Times New Roman"/>
          <w:spacing w:val="80"/>
        </w:rPr>
        <w:t xml:space="preserve"> </w:t>
      </w:r>
      <w:r w:rsidRPr="00C461E7">
        <w:rPr>
          <w:rFonts w:ascii="Calibri" w:eastAsia="Times New Roman" w:hAnsi="Calibri" w:cs="Times New Roman"/>
        </w:rPr>
        <w:t>Clinic</w:t>
      </w:r>
      <w:r w:rsidRPr="00C461E7">
        <w:rPr>
          <w:rFonts w:ascii="Calibri" w:eastAsia="Times New Roman" w:hAnsi="Calibri" w:cs="Times New Roman"/>
          <w:spacing w:val="80"/>
        </w:rPr>
        <w:t xml:space="preserve"> </w:t>
      </w:r>
      <w:r w:rsidRPr="00C461E7">
        <w:rPr>
          <w:rFonts w:ascii="Calibri" w:eastAsia="Times New Roman" w:hAnsi="Calibri" w:cs="Times New Roman"/>
        </w:rPr>
        <w:t>is</w:t>
      </w:r>
      <w:r w:rsidRPr="00C461E7">
        <w:rPr>
          <w:rFonts w:ascii="Calibri" w:eastAsia="Times New Roman" w:hAnsi="Calibri" w:cs="Times New Roman"/>
          <w:spacing w:val="80"/>
        </w:rPr>
        <w:t xml:space="preserve"> </w:t>
      </w:r>
      <w:r w:rsidRPr="00C461E7">
        <w:rPr>
          <w:rFonts w:ascii="Calibri" w:eastAsia="Times New Roman" w:hAnsi="Calibri" w:cs="Times New Roman"/>
        </w:rPr>
        <w:t>not</w:t>
      </w:r>
      <w:r w:rsidRPr="00C461E7">
        <w:rPr>
          <w:rFonts w:ascii="Calibri" w:eastAsia="Times New Roman" w:hAnsi="Calibri" w:cs="Times New Roman"/>
          <w:spacing w:val="80"/>
        </w:rPr>
        <w:t xml:space="preserve"> </w:t>
      </w:r>
      <w:r w:rsidRPr="00C461E7">
        <w:rPr>
          <w:rFonts w:ascii="Calibri" w:eastAsia="Times New Roman" w:hAnsi="Calibri" w:cs="Times New Roman"/>
        </w:rPr>
        <w:t>permitted to provide free services or waive</w:t>
      </w:r>
      <w:r w:rsidRPr="00C461E7">
        <w:rPr>
          <w:rFonts w:ascii="Calibri" w:eastAsia="Times New Roman" w:hAnsi="Calibri" w:cs="Times New Roman"/>
          <w:spacing w:val="80"/>
        </w:rPr>
        <w:t xml:space="preserve"> </w:t>
      </w:r>
      <w:r w:rsidRPr="00C461E7">
        <w:rPr>
          <w:rFonts w:ascii="Calibri" w:eastAsia="Times New Roman" w:hAnsi="Calibri" w:cs="Times New Roman"/>
        </w:rPr>
        <w:t>or</w:t>
      </w:r>
      <w:r w:rsidRPr="00C461E7">
        <w:rPr>
          <w:rFonts w:ascii="Calibri" w:eastAsia="Times New Roman" w:hAnsi="Calibri" w:cs="Times New Roman"/>
          <w:spacing w:val="80"/>
        </w:rPr>
        <w:t xml:space="preserve"> </w:t>
      </w:r>
      <w:r w:rsidRPr="00C461E7">
        <w:rPr>
          <w:rFonts w:ascii="Calibri" w:eastAsia="Times New Roman" w:hAnsi="Calibri" w:cs="Times New Roman"/>
        </w:rPr>
        <w:t>reduce</w:t>
      </w:r>
      <w:r w:rsidRPr="00C461E7">
        <w:rPr>
          <w:rFonts w:ascii="Calibri" w:eastAsia="Times New Roman" w:hAnsi="Calibri" w:cs="Times New Roman"/>
          <w:spacing w:val="80"/>
        </w:rPr>
        <w:t xml:space="preserve"> </w:t>
      </w:r>
      <w:r w:rsidRPr="00C461E7">
        <w:rPr>
          <w:rFonts w:ascii="Calibri" w:eastAsia="Times New Roman" w:hAnsi="Calibri" w:cs="Times New Roman"/>
        </w:rPr>
        <w:t>patient  co-pays/deductibles</w:t>
      </w:r>
      <w:r w:rsidRPr="00C461E7">
        <w:rPr>
          <w:rFonts w:ascii="Calibri" w:eastAsia="Times New Roman" w:hAnsi="Calibri" w:cs="Times New Roman"/>
          <w:spacing w:val="40"/>
        </w:rPr>
        <w:t xml:space="preserve"> </w:t>
      </w:r>
      <w:r w:rsidRPr="00C461E7">
        <w:rPr>
          <w:rFonts w:ascii="Calibri" w:eastAsia="Times New Roman" w:hAnsi="Calibri" w:cs="Times New Roman"/>
        </w:rPr>
        <w:t>without</w:t>
      </w:r>
      <w:r w:rsidRPr="00C461E7">
        <w:rPr>
          <w:rFonts w:ascii="Calibri" w:eastAsia="Times New Roman" w:hAnsi="Calibri" w:cs="Times New Roman"/>
          <w:spacing w:val="40"/>
        </w:rPr>
        <w:t xml:space="preserve"> </w:t>
      </w:r>
      <w:r w:rsidRPr="00C461E7">
        <w:rPr>
          <w:rFonts w:ascii="Calibri" w:eastAsia="Times New Roman" w:hAnsi="Calibri" w:cs="Times New Roman"/>
        </w:rPr>
        <w:t>proper</w:t>
      </w:r>
      <w:r w:rsidRPr="00C461E7">
        <w:rPr>
          <w:rFonts w:ascii="Calibri" w:eastAsia="Times New Roman" w:hAnsi="Calibri" w:cs="Times New Roman"/>
          <w:spacing w:val="40"/>
        </w:rPr>
        <w:t xml:space="preserve"> </w:t>
      </w:r>
      <w:r w:rsidRPr="00C461E7">
        <w:rPr>
          <w:rFonts w:ascii="Calibri" w:eastAsia="Times New Roman" w:hAnsi="Calibri" w:cs="Times New Roman"/>
        </w:rPr>
        <w:t>documentation</w:t>
      </w:r>
      <w:r w:rsidRPr="00C461E7">
        <w:rPr>
          <w:rFonts w:ascii="Calibri" w:eastAsia="Times New Roman" w:hAnsi="Calibri" w:cs="Times New Roman"/>
          <w:spacing w:val="40"/>
        </w:rPr>
        <w:t xml:space="preserve"> </w:t>
      </w:r>
      <w:r w:rsidRPr="00C461E7">
        <w:rPr>
          <w:rFonts w:ascii="Calibri" w:eastAsia="Times New Roman" w:hAnsi="Calibri" w:cs="Times New Roman"/>
        </w:rPr>
        <w:t>showing</w:t>
      </w:r>
      <w:r w:rsidRPr="00C461E7">
        <w:rPr>
          <w:rFonts w:ascii="Calibri" w:eastAsia="Times New Roman" w:hAnsi="Calibri" w:cs="Times New Roman"/>
          <w:spacing w:val="30"/>
        </w:rPr>
        <w:t xml:space="preserve"> </w:t>
      </w:r>
      <w:r w:rsidRPr="00C461E7">
        <w:rPr>
          <w:rFonts w:ascii="Calibri" w:eastAsia="Times New Roman" w:hAnsi="Calibri" w:cs="Times New Roman"/>
        </w:rPr>
        <w:t>the</w:t>
      </w:r>
      <w:r w:rsidRPr="00C461E7">
        <w:rPr>
          <w:rFonts w:ascii="Calibri" w:eastAsia="Times New Roman" w:hAnsi="Calibri" w:cs="Times New Roman"/>
          <w:spacing w:val="31"/>
        </w:rPr>
        <w:t xml:space="preserve"> </w:t>
      </w:r>
      <w:r w:rsidRPr="00C461E7">
        <w:rPr>
          <w:rFonts w:ascii="Calibri" w:eastAsia="Times New Roman" w:hAnsi="Calibri" w:cs="Times New Roman"/>
        </w:rPr>
        <w:t>patient</w:t>
      </w:r>
      <w:r w:rsidRPr="00C461E7">
        <w:rPr>
          <w:rFonts w:ascii="Calibri" w:eastAsia="Times New Roman" w:hAnsi="Calibri" w:cs="Times New Roman"/>
          <w:spacing w:val="31"/>
        </w:rPr>
        <w:t xml:space="preserve"> </w:t>
      </w:r>
      <w:r w:rsidRPr="00C461E7">
        <w:rPr>
          <w:rFonts w:ascii="Calibri" w:eastAsia="Times New Roman" w:hAnsi="Calibri" w:cs="Times New Roman"/>
        </w:rPr>
        <w:t>is</w:t>
      </w:r>
      <w:r w:rsidRPr="00C461E7">
        <w:rPr>
          <w:rFonts w:ascii="Calibri" w:eastAsia="Times New Roman" w:hAnsi="Calibri" w:cs="Times New Roman"/>
          <w:spacing w:val="30"/>
        </w:rPr>
        <w:t xml:space="preserve"> </w:t>
      </w:r>
      <w:r w:rsidRPr="00C461E7">
        <w:rPr>
          <w:rFonts w:ascii="Calibri" w:eastAsia="Times New Roman" w:hAnsi="Calibri" w:cs="Times New Roman"/>
        </w:rPr>
        <w:t>eligible</w:t>
      </w:r>
      <w:r w:rsidRPr="00C461E7">
        <w:rPr>
          <w:rFonts w:ascii="Calibri" w:eastAsia="Times New Roman" w:hAnsi="Calibri" w:cs="Times New Roman"/>
          <w:spacing w:val="30"/>
        </w:rPr>
        <w:t xml:space="preserve"> </w:t>
      </w:r>
      <w:r w:rsidRPr="00C461E7">
        <w:rPr>
          <w:rFonts w:ascii="Calibri" w:eastAsia="Times New Roman" w:hAnsi="Calibri" w:cs="Times New Roman"/>
        </w:rPr>
        <w:t>for</w:t>
      </w:r>
      <w:r w:rsidRPr="00C461E7">
        <w:rPr>
          <w:rFonts w:ascii="Calibri" w:eastAsia="Times New Roman" w:hAnsi="Calibri" w:cs="Times New Roman"/>
          <w:spacing w:val="30"/>
        </w:rPr>
        <w:t xml:space="preserve"> </w:t>
      </w:r>
      <w:r w:rsidRPr="00C461E7">
        <w:rPr>
          <w:rFonts w:ascii="Calibri" w:eastAsia="Times New Roman" w:hAnsi="Calibri" w:cs="Times New Roman"/>
        </w:rPr>
        <w:t>a</w:t>
      </w:r>
      <w:r w:rsidRPr="00C461E7">
        <w:rPr>
          <w:rFonts w:ascii="Calibri" w:eastAsia="Times New Roman" w:hAnsi="Calibri" w:cs="Times New Roman"/>
          <w:spacing w:val="34"/>
        </w:rPr>
        <w:t xml:space="preserve"> </w:t>
      </w:r>
      <w:r w:rsidRPr="00C461E7">
        <w:rPr>
          <w:rFonts w:ascii="Calibri" w:eastAsia="Times New Roman" w:hAnsi="Calibri" w:cs="Times New Roman"/>
        </w:rPr>
        <w:t>Sliding</w:t>
      </w:r>
      <w:r w:rsidRPr="00C461E7">
        <w:rPr>
          <w:rFonts w:ascii="Calibri" w:eastAsia="Times New Roman" w:hAnsi="Calibri" w:cs="Times New Roman"/>
          <w:spacing w:val="30"/>
        </w:rPr>
        <w:t xml:space="preserve"> </w:t>
      </w:r>
      <w:r w:rsidRPr="00C461E7">
        <w:rPr>
          <w:rFonts w:ascii="Calibri" w:eastAsia="Times New Roman" w:hAnsi="Calibri" w:cs="Times New Roman"/>
        </w:rPr>
        <w:t>Fee</w:t>
      </w:r>
      <w:r w:rsidRPr="00C461E7">
        <w:rPr>
          <w:rFonts w:ascii="Calibri" w:eastAsia="Times New Roman" w:hAnsi="Calibri" w:cs="Times New Roman"/>
          <w:spacing w:val="30"/>
        </w:rPr>
        <w:t xml:space="preserve"> </w:t>
      </w:r>
      <w:r w:rsidRPr="00C461E7">
        <w:rPr>
          <w:rFonts w:ascii="Calibri" w:eastAsia="Times New Roman" w:hAnsi="Calibri" w:cs="Times New Roman"/>
        </w:rPr>
        <w:t>Discount. If you are interested in applying for a Sliding Fee Discount, please indicate this on your consent form and provide the necessary information to determine eligibility.</w:t>
      </w:r>
    </w:p>
    <w:p w14:paraId="0A0A89BB" w14:textId="06979279" w:rsidR="006B7DD8" w:rsidRDefault="006B7DD8" w:rsidP="004F7CBA">
      <w:pPr>
        <w:pStyle w:val="NoSpacing"/>
      </w:pPr>
    </w:p>
    <w:p w14:paraId="4D77DADA" w14:textId="473604E0" w:rsidR="0041629B" w:rsidRPr="001A7856" w:rsidRDefault="003A4A60" w:rsidP="00DE1B8E">
      <w:pPr>
        <w:rPr>
          <w:rFonts w:cstheme="minorHAnsi"/>
        </w:rPr>
      </w:pPr>
      <w:r w:rsidRPr="001A7856">
        <w:rPr>
          <w:rFonts w:cstheme="minorHAnsi"/>
          <w:b/>
          <w:bCs/>
        </w:rPr>
        <w:t xml:space="preserve">The SBHC must have parental consent prior to enrolling a student as a patient. </w:t>
      </w:r>
      <w:r w:rsidRPr="001A7856">
        <w:rPr>
          <w:rFonts w:cstheme="minorHAnsi"/>
        </w:rPr>
        <w:t xml:space="preserve">A parent or </w:t>
      </w:r>
      <w:r w:rsidR="001904F7" w:rsidRPr="001A7856">
        <w:rPr>
          <w:rFonts w:cstheme="minorHAnsi"/>
        </w:rPr>
        <w:t xml:space="preserve">legal </w:t>
      </w:r>
      <w:r w:rsidRPr="001A7856">
        <w:rPr>
          <w:rFonts w:cstheme="minorHAnsi"/>
        </w:rPr>
        <w:t xml:space="preserve">guardian </w:t>
      </w:r>
      <w:r w:rsidRPr="001A7856">
        <w:rPr>
          <w:rFonts w:cstheme="minorHAnsi"/>
          <w:b/>
          <w:bCs/>
        </w:rPr>
        <w:t>must sign</w:t>
      </w:r>
      <w:r w:rsidRPr="001A7856">
        <w:rPr>
          <w:rFonts w:cstheme="minorHAnsi"/>
        </w:rPr>
        <w:t xml:space="preserve"> the </w:t>
      </w:r>
      <w:r w:rsidR="0072459D" w:rsidRPr="001A7856">
        <w:rPr>
          <w:rFonts w:cstheme="minorHAnsi"/>
          <w:b/>
          <w:bCs/>
        </w:rPr>
        <w:t>C</w:t>
      </w:r>
      <w:r w:rsidRPr="001A7856">
        <w:rPr>
          <w:rFonts w:cstheme="minorHAnsi"/>
          <w:b/>
          <w:bCs/>
        </w:rPr>
        <w:t xml:space="preserve">onsent </w:t>
      </w:r>
      <w:r w:rsidR="00B62EBD" w:rsidRPr="001A7856">
        <w:rPr>
          <w:rFonts w:cstheme="minorHAnsi"/>
          <w:b/>
          <w:bCs/>
        </w:rPr>
        <w:t>Form</w:t>
      </w:r>
      <w:r w:rsidR="00B62EBD" w:rsidRPr="001A7856">
        <w:rPr>
          <w:rFonts w:cstheme="minorHAnsi"/>
        </w:rPr>
        <w:t xml:space="preserve"> </w:t>
      </w:r>
      <w:r w:rsidRPr="001A7856">
        <w:rPr>
          <w:rFonts w:cstheme="minorHAnsi"/>
        </w:rPr>
        <w:t xml:space="preserve">and any center-specific forms that require signature for the student to receive SBHC services. Once </w:t>
      </w:r>
      <w:r w:rsidR="00E80EE8" w:rsidRPr="001A7856">
        <w:rPr>
          <w:rFonts w:cstheme="minorHAnsi"/>
        </w:rPr>
        <w:t>a parent/guardian signs these forms</w:t>
      </w:r>
      <w:r w:rsidRPr="001A7856">
        <w:rPr>
          <w:rFonts w:cstheme="minorHAnsi"/>
        </w:rPr>
        <w:t xml:space="preserve">, the SBHC will provide </w:t>
      </w:r>
      <w:r w:rsidR="00196BE9" w:rsidRPr="001A7856">
        <w:rPr>
          <w:rFonts w:cstheme="minorHAnsi"/>
        </w:rPr>
        <w:t xml:space="preserve">services that the child needs </w:t>
      </w:r>
      <w:r w:rsidRPr="001A7856">
        <w:rPr>
          <w:rFonts w:cstheme="minorHAnsi"/>
        </w:rPr>
        <w:t xml:space="preserve">or </w:t>
      </w:r>
      <w:r w:rsidR="00196BE9" w:rsidRPr="001A7856">
        <w:rPr>
          <w:rFonts w:cstheme="minorHAnsi"/>
        </w:rPr>
        <w:t xml:space="preserve">will </w:t>
      </w:r>
      <w:r w:rsidRPr="001A7856">
        <w:rPr>
          <w:rFonts w:cstheme="minorHAnsi"/>
        </w:rPr>
        <w:t xml:space="preserve">refer </w:t>
      </w:r>
      <w:r w:rsidR="00245EAF" w:rsidRPr="001A7856">
        <w:rPr>
          <w:rFonts w:cstheme="minorHAnsi"/>
        </w:rPr>
        <w:t>to another provider as needed.</w:t>
      </w:r>
      <w:r w:rsidR="00665D41" w:rsidRPr="001A7856">
        <w:rPr>
          <w:rFonts w:cstheme="minorHAnsi"/>
        </w:rPr>
        <w:t xml:space="preserve"> </w:t>
      </w:r>
      <w:r w:rsidR="00A70ECE" w:rsidRPr="001A7856">
        <w:rPr>
          <w:rFonts w:cstheme="minorHAnsi"/>
        </w:rPr>
        <w:t>T</w:t>
      </w:r>
      <w:r w:rsidR="00665D41" w:rsidRPr="001A7856">
        <w:rPr>
          <w:rFonts w:cstheme="minorHAnsi"/>
        </w:rPr>
        <w:t xml:space="preserve">he SBHC will attempt to keep parents informed of the services their child receives, </w:t>
      </w:r>
      <w:r w:rsidR="00A70ECE" w:rsidRPr="001A7856">
        <w:rPr>
          <w:rFonts w:cstheme="minorHAnsi"/>
        </w:rPr>
        <w:t xml:space="preserve">however, </w:t>
      </w:r>
      <w:r w:rsidR="00665D41" w:rsidRPr="001A7856">
        <w:rPr>
          <w:rFonts w:cstheme="minorHAnsi"/>
        </w:rPr>
        <w:t>signing the Consent</w:t>
      </w:r>
      <w:r w:rsidR="00F02878" w:rsidRPr="001A7856">
        <w:rPr>
          <w:rFonts w:cstheme="minorHAnsi"/>
        </w:rPr>
        <w:t xml:space="preserve"> Form</w:t>
      </w:r>
      <w:r w:rsidR="00665D41" w:rsidRPr="001A7856">
        <w:rPr>
          <w:rFonts w:cstheme="minorHAnsi"/>
        </w:rPr>
        <w:t xml:space="preserve"> gives the SBHC permission to provide medical and behavioral health services to the child without contacting the parent each time the child visits the SBHC. No child is treated, counseled, or referred </w:t>
      </w:r>
      <w:r w:rsidR="00F701B6" w:rsidRPr="001A7856">
        <w:rPr>
          <w:rFonts w:cstheme="minorHAnsi"/>
        </w:rPr>
        <w:t>elsewhere</w:t>
      </w:r>
      <w:r w:rsidR="005D2004" w:rsidRPr="001A7856">
        <w:rPr>
          <w:rFonts w:cstheme="minorHAnsi"/>
        </w:rPr>
        <w:t xml:space="preserve"> </w:t>
      </w:r>
      <w:r w:rsidR="00665D41" w:rsidRPr="001A7856">
        <w:rPr>
          <w:rFonts w:cstheme="minorHAnsi"/>
        </w:rPr>
        <w:t>without a consent form signed by parent, but the SBHC is required by law to treat the child even if the parent cannot be reached</w:t>
      </w:r>
      <w:r w:rsidR="00A70ECE" w:rsidRPr="001A7856">
        <w:rPr>
          <w:rFonts w:cstheme="minorHAnsi"/>
        </w:rPr>
        <w:t xml:space="preserve"> prior to </w:t>
      </w:r>
      <w:r w:rsidR="002F6F2B" w:rsidRPr="001A7856">
        <w:rPr>
          <w:rFonts w:cstheme="minorHAnsi"/>
        </w:rPr>
        <w:t>the treatment.</w:t>
      </w:r>
    </w:p>
    <w:p w14:paraId="4DF96D24" w14:textId="02958FC2" w:rsidR="00665D41" w:rsidRDefault="00665D41" w:rsidP="00DE1B8E">
      <w:r>
        <w:t xml:space="preserve">The SBHC </w:t>
      </w:r>
      <w:r w:rsidR="00020E6D">
        <w:t>is staffed with</w:t>
      </w:r>
      <w:r>
        <w:t xml:space="preserve"> </w:t>
      </w:r>
      <w:r w:rsidR="0072459D">
        <w:t>a medical provider</w:t>
      </w:r>
      <w:r>
        <w:t xml:space="preserve">, </w:t>
      </w:r>
      <w:r w:rsidR="00B60B8F">
        <w:t>nursing staff</w:t>
      </w:r>
      <w:r w:rsidR="00D6210F">
        <w:t xml:space="preserve">, and </w:t>
      </w:r>
      <w:r w:rsidR="002F6F2B">
        <w:t xml:space="preserve">a </w:t>
      </w:r>
      <w:r w:rsidR="004772C7">
        <w:t xml:space="preserve">behavioral health </w:t>
      </w:r>
      <w:r w:rsidR="00CA249F">
        <w:t>provider</w:t>
      </w:r>
      <w:r w:rsidR="004772C7">
        <w:t xml:space="preserve"> </w:t>
      </w:r>
      <w:r w:rsidR="00D6210F">
        <w:t xml:space="preserve">who </w:t>
      </w:r>
      <w:r w:rsidR="0072459D">
        <w:t xml:space="preserve">will provide </w:t>
      </w:r>
      <w:r w:rsidR="00D6210F">
        <w:t xml:space="preserve">care </w:t>
      </w:r>
      <w:r w:rsidR="0072459D">
        <w:t>to</w:t>
      </w:r>
      <w:r w:rsidR="00D6210F">
        <w:t xml:space="preserve"> students. All </w:t>
      </w:r>
      <w:r w:rsidR="00C0767E">
        <w:t xml:space="preserve">staff </w:t>
      </w:r>
      <w:r w:rsidR="002F6F2B">
        <w:t xml:space="preserve">members </w:t>
      </w:r>
      <w:r w:rsidR="00D6210F">
        <w:t>are licensed</w:t>
      </w:r>
      <w:r w:rsidR="00C0767E">
        <w:t xml:space="preserve"> and/or certified </w:t>
      </w:r>
      <w:r w:rsidR="00D6210F">
        <w:t>professionals</w:t>
      </w:r>
      <w:r w:rsidR="00C0767E">
        <w:t xml:space="preserve"> according to their job function</w:t>
      </w:r>
      <w:r w:rsidR="00D6210F">
        <w:t xml:space="preserve">. They </w:t>
      </w:r>
      <w:r w:rsidR="00FE158B">
        <w:t>work</w:t>
      </w:r>
      <w:r w:rsidR="00D6210F">
        <w:t xml:space="preserve"> to keep your child healthy, in school and ready to learn. </w:t>
      </w:r>
      <w:r w:rsidR="00C0767E">
        <w:t xml:space="preserve">Feel free to </w:t>
      </w:r>
      <w:r w:rsidR="00D228ED">
        <w:t xml:space="preserve">call or visit </w:t>
      </w:r>
      <w:r w:rsidR="00D6210F">
        <w:t xml:space="preserve">the </w:t>
      </w:r>
      <w:r w:rsidR="00C0767E">
        <w:t>SBHC</w:t>
      </w:r>
      <w:r w:rsidR="00D6210F">
        <w:t xml:space="preserve"> if you have question</w:t>
      </w:r>
      <w:r w:rsidR="00E86D88">
        <w:t>s</w:t>
      </w:r>
      <w:r w:rsidR="00D6210F">
        <w:t>.</w:t>
      </w:r>
    </w:p>
    <w:p w14:paraId="638ACB62" w14:textId="77777777" w:rsidR="00F66638" w:rsidRPr="00F66638" w:rsidRDefault="00F66638" w:rsidP="00F66638">
      <w:pPr>
        <w:widowControl w:val="0"/>
        <w:autoSpaceDE w:val="0"/>
        <w:autoSpaceDN w:val="0"/>
        <w:adjustRightInd w:val="0"/>
        <w:spacing w:after="0" w:line="240" w:lineRule="auto"/>
        <w:rPr>
          <w:rFonts w:ascii="Calibri" w:eastAsia="Times New Roman" w:hAnsi="Calibri" w:cs="Calibri"/>
          <w14:ligatures w14:val="standardContextual"/>
        </w:rPr>
      </w:pPr>
      <w:r w:rsidRPr="00F66638">
        <w:rPr>
          <w:rFonts w:ascii="Calibri" w:eastAsia="Times New Roman" w:hAnsi="Calibri" w:cs="Calibri"/>
          <w14:ligatures w14:val="standardContextual"/>
        </w:rPr>
        <w:t xml:space="preserve">The services provided in the SBHC are the same as those any physician, nurse practitioner, or physician’s assistant can provide in a  medical office and follow the Louisiana Medicaid/EPSDT and the American Academy of Pediatrics (AAP) recommendation the certain preventative healthcare services be provided at certain ages because they help prevent illness and keep children healthy. You may visit </w:t>
      </w:r>
      <w:hyperlink r:id="rId9" w:history="1">
        <w:r w:rsidRPr="00F66638">
          <w:rPr>
            <w:rFonts w:ascii="Calibri" w:eastAsia="Times New Roman" w:hAnsi="Calibri" w:cs="Calibri"/>
            <w:color w:val="0563C1"/>
            <w:u w:val="single"/>
            <w14:ligatures w14:val="standardContextual"/>
          </w:rPr>
          <w:t>https://www.aap.org/periodicityschedule</w:t>
        </w:r>
      </w:hyperlink>
      <w:r w:rsidRPr="00F66638">
        <w:rPr>
          <w:rFonts w:ascii="Calibri" w:eastAsia="Times New Roman" w:hAnsi="Calibri" w:cs="Calibri"/>
          <w14:ligatures w14:val="standardContextual"/>
        </w:rPr>
        <w:t xml:space="preserve"> for the </w:t>
      </w:r>
      <w:r w:rsidRPr="00F66638">
        <w:rPr>
          <w:rFonts w:ascii="Calibri" w:eastAsia="Times New Roman" w:hAnsi="Calibri" w:cs="Calibri"/>
          <w:b/>
          <w:bCs/>
          <w14:ligatures w14:val="standardContextual"/>
        </w:rPr>
        <w:t>Recommendations for Preventive Pediatric Health Care—</w:t>
      </w:r>
      <w:hyperlink r:id="rId10" w:tgtFrame="_blank" w:history="1">
        <w:r w:rsidRPr="00F66638">
          <w:rPr>
            <w:rFonts w:ascii="Calibri" w:eastAsia="Times New Roman" w:hAnsi="Calibri" w:cs="Calibri"/>
            <w:b/>
            <w:bCs/>
            <w:color w:val="0563C1"/>
            <w:u w:val="single"/>
            <w14:ligatures w14:val="standardContextual"/>
          </w:rPr>
          <w:t>Periodicity Schedule</w:t>
        </w:r>
      </w:hyperlink>
    </w:p>
    <w:p w14:paraId="1EA3C8BF" w14:textId="2DD69676" w:rsidR="00FC1ED6" w:rsidRDefault="00BD2C14" w:rsidP="0095502C">
      <w:pPr>
        <w:pStyle w:val="BodyText"/>
        <w:kinsoku w:val="0"/>
        <w:overflowPunct w:val="0"/>
        <w:spacing w:before="158"/>
        <w:ind w:right="207"/>
        <w:rPr>
          <w:rFonts w:ascii="Calibri" w:hAnsi="Calibri" w:cs="Calibri"/>
        </w:rPr>
      </w:pPr>
      <w:r w:rsidRPr="00BD2C14">
        <w:rPr>
          <w:rFonts w:ascii="Calibri" w:eastAsia="Times New Roman" w:hAnsi="Calibri" w:cs="Calibri"/>
          <w:b/>
          <w:bCs/>
        </w:rPr>
        <w:t xml:space="preserve">The SBHC staff WILL NOT collect any co-pays or deductibles directly from students who present without a parent. </w:t>
      </w:r>
      <w:bookmarkStart w:id="0" w:name="_Hlk154579752"/>
      <w:r w:rsidRPr="00BD2C14">
        <w:rPr>
          <w:rFonts w:ascii="Calibri" w:eastAsia="Times New Roman" w:hAnsi="Calibri" w:cs="Calibri"/>
        </w:rPr>
        <w:t xml:space="preserve">However, the SBHC may send a </w:t>
      </w:r>
      <w:r w:rsidRPr="00BD2C14">
        <w:rPr>
          <w:rFonts w:ascii="Calibri" w:eastAsia="Times New Roman" w:hAnsi="Calibri" w:cs="Calibri"/>
          <w:b/>
          <w:bCs/>
        </w:rPr>
        <w:t xml:space="preserve">bill </w:t>
      </w:r>
      <w:r w:rsidRPr="00BD2C14">
        <w:rPr>
          <w:rFonts w:ascii="Calibri" w:eastAsia="Times New Roman" w:hAnsi="Calibri" w:cs="Calibri"/>
        </w:rPr>
        <w:t>to the insurance plan(s) that are listed on the consent form and to the parents for any co-pay or deductible that is owed, after any eligible sliding fee discount is applied.</w:t>
      </w:r>
      <w:bookmarkEnd w:id="0"/>
      <w:r w:rsidR="00FC1ED6">
        <w:rPr>
          <w:rFonts w:ascii="Calibri" w:hAnsi="Calibri" w:cs="Calibri"/>
        </w:rPr>
        <w:t xml:space="preserve"> </w:t>
      </w:r>
    </w:p>
    <w:p w14:paraId="190861D8" w14:textId="125EA9D4" w:rsidR="00973C2F" w:rsidRDefault="00FC1ED6" w:rsidP="00FC1ED6">
      <w:pPr>
        <w:rPr>
          <w:rFonts w:ascii="Calibri" w:hAnsi="Calibri" w:cs="Calibri"/>
        </w:rPr>
      </w:pPr>
      <w:r>
        <w:rPr>
          <w:rFonts w:ascii="Calibri" w:hAnsi="Calibri" w:cs="Calibri"/>
        </w:rPr>
        <w:t xml:space="preserve">If a staff or faculty member presents, </w:t>
      </w:r>
      <w:r w:rsidR="00B81069">
        <w:rPr>
          <w:rFonts w:ascii="Calibri" w:hAnsi="Calibri" w:cs="Calibri"/>
        </w:rPr>
        <w:t xml:space="preserve">the </w:t>
      </w:r>
      <w:r w:rsidR="00733FAA">
        <w:rPr>
          <w:rFonts w:ascii="Calibri" w:hAnsi="Calibri" w:cs="Calibri"/>
        </w:rPr>
        <w:t>SBHC</w:t>
      </w:r>
      <w:r>
        <w:rPr>
          <w:rFonts w:ascii="Calibri" w:hAnsi="Calibri" w:cs="Calibri"/>
        </w:rPr>
        <w:t xml:space="preserve"> will collect the required co-pays or deductibles from them, after applying any eligible </w:t>
      </w:r>
      <w:r w:rsidR="000D7706">
        <w:rPr>
          <w:rFonts w:ascii="Calibri" w:hAnsi="Calibri" w:cs="Calibri"/>
        </w:rPr>
        <w:t>slid</w:t>
      </w:r>
      <w:r w:rsidR="00782448">
        <w:rPr>
          <w:rFonts w:ascii="Calibri" w:hAnsi="Calibri" w:cs="Calibri"/>
        </w:rPr>
        <w:t>ing</w:t>
      </w:r>
      <w:r w:rsidR="000D7706">
        <w:rPr>
          <w:rFonts w:ascii="Calibri" w:hAnsi="Calibri" w:cs="Calibri"/>
        </w:rPr>
        <w:t xml:space="preserve"> </w:t>
      </w:r>
      <w:r>
        <w:rPr>
          <w:rFonts w:ascii="Calibri" w:hAnsi="Calibri" w:cs="Calibri"/>
        </w:rPr>
        <w:t xml:space="preserve">discount. If they cannot pay at time of service, they will receive a bill in the mail for the </w:t>
      </w:r>
      <w:r w:rsidR="004749F7">
        <w:rPr>
          <w:rFonts w:ascii="Calibri" w:hAnsi="Calibri" w:cs="Calibri"/>
        </w:rPr>
        <w:t>balance</w:t>
      </w:r>
      <w:r>
        <w:rPr>
          <w:rFonts w:ascii="Calibri" w:hAnsi="Calibri" w:cs="Calibri"/>
        </w:rPr>
        <w:t xml:space="preserve"> they still owe, and </w:t>
      </w:r>
      <w:r w:rsidR="004749F7">
        <w:rPr>
          <w:rFonts w:ascii="Calibri" w:hAnsi="Calibri" w:cs="Calibri"/>
        </w:rPr>
        <w:t>Teche</w:t>
      </w:r>
      <w:r>
        <w:rPr>
          <w:rFonts w:ascii="Calibri" w:hAnsi="Calibri" w:cs="Calibri"/>
        </w:rPr>
        <w:t xml:space="preserve"> will bill the insurance plan. </w:t>
      </w:r>
    </w:p>
    <w:p w14:paraId="42C4EDA2" w14:textId="77777777" w:rsidR="00346B20" w:rsidRDefault="00346B20" w:rsidP="00FC1ED6">
      <w:pPr>
        <w:rPr>
          <w:rFonts w:ascii="Calibri" w:hAnsi="Calibri" w:cs="Calibri"/>
        </w:rPr>
      </w:pPr>
    </w:p>
    <w:p w14:paraId="196B3E63" w14:textId="4ECB3A5A" w:rsidR="00FC1ED6" w:rsidRDefault="00894881" w:rsidP="00FC1ED6">
      <w:pPr>
        <w:rPr>
          <w:rFonts w:ascii="Calibri" w:hAnsi="Calibri" w:cs="Calibri"/>
        </w:rPr>
      </w:pPr>
      <w:r>
        <w:rPr>
          <w:rFonts w:ascii="Calibri" w:hAnsi="Calibri" w:cs="Calibri"/>
        </w:rPr>
        <w:t>The SBHC will provide</w:t>
      </w:r>
      <w:r w:rsidR="00FE5541">
        <w:rPr>
          <w:rFonts w:ascii="Calibri" w:hAnsi="Calibri" w:cs="Calibri"/>
        </w:rPr>
        <w:t xml:space="preserve"> the following services to students at “no charge” because insurance plans sp</w:t>
      </w:r>
      <w:r w:rsidR="00726023">
        <w:rPr>
          <w:rFonts w:ascii="Calibri" w:hAnsi="Calibri" w:cs="Calibri"/>
        </w:rPr>
        <w:t>ecifically cover these services at no cost to their members</w:t>
      </w:r>
      <w:r w:rsidR="00A02504">
        <w:rPr>
          <w:rFonts w:ascii="Calibri" w:hAnsi="Calibri" w:cs="Calibri"/>
        </w:rPr>
        <w:t xml:space="preserve">: </w:t>
      </w:r>
      <w:r w:rsidR="00FC1ED6">
        <w:rPr>
          <w:rFonts w:ascii="Calibri" w:hAnsi="Calibri" w:cs="Calibri"/>
        </w:rPr>
        <w:t> </w:t>
      </w:r>
    </w:p>
    <w:p w14:paraId="42452C37" w14:textId="77777777" w:rsidR="00FC1ED6" w:rsidRDefault="00FC1ED6" w:rsidP="00FC1ED6">
      <w:pPr>
        <w:pStyle w:val="NoSpacing"/>
        <w:numPr>
          <w:ilvl w:val="0"/>
          <w:numId w:val="7"/>
        </w:numPr>
        <w:rPr>
          <w:rFonts w:ascii="Calibri" w:eastAsia="Times New Roman" w:hAnsi="Calibri" w:cs="Calibri"/>
        </w:rPr>
      </w:pPr>
      <w:r w:rsidRPr="00922D1D">
        <w:rPr>
          <w:rFonts w:eastAsia="Times New Roman"/>
          <w:b/>
          <w:bCs/>
        </w:rPr>
        <w:t>Well child check-ups</w:t>
      </w:r>
      <w:r>
        <w:rPr>
          <w:rFonts w:eastAsia="Times New Roman"/>
        </w:rPr>
        <w:t xml:space="preserve"> in which the staff will:</w:t>
      </w:r>
    </w:p>
    <w:p w14:paraId="6B9D5EC2" w14:textId="6D4EFA9F" w:rsidR="00686BD0" w:rsidRPr="00747597" w:rsidRDefault="00FC1ED6" w:rsidP="00457142">
      <w:pPr>
        <w:pStyle w:val="NoSpacing"/>
        <w:numPr>
          <w:ilvl w:val="1"/>
          <w:numId w:val="7"/>
        </w:numPr>
        <w:rPr>
          <w:rFonts w:eastAsia="Times New Roman"/>
        </w:rPr>
      </w:pPr>
      <w:r w:rsidRPr="00747597">
        <w:rPr>
          <w:rFonts w:eastAsia="Times New Roman"/>
        </w:rPr>
        <w:t>measure student’s height and weight</w:t>
      </w:r>
    </w:p>
    <w:p w14:paraId="7E61EF9C" w14:textId="72957B05" w:rsidR="00FC1ED6" w:rsidRDefault="00FC1ED6" w:rsidP="00FC1ED6">
      <w:pPr>
        <w:pStyle w:val="NoSpacing"/>
        <w:numPr>
          <w:ilvl w:val="1"/>
          <w:numId w:val="7"/>
        </w:numPr>
        <w:rPr>
          <w:rFonts w:eastAsia="Times New Roman"/>
        </w:rPr>
      </w:pPr>
      <w:r>
        <w:rPr>
          <w:rFonts w:eastAsia="Times New Roman"/>
        </w:rPr>
        <w:t>check if child weighs too much, too little, or are within normal range for their age and height</w:t>
      </w:r>
    </w:p>
    <w:p w14:paraId="0E321EBF" w14:textId="77777777" w:rsidR="00FC1ED6" w:rsidRDefault="00FC1ED6" w:rsidP="00FC1ED6">
      <w:pPr>
        <w:pStyle w:val="NoSpacing"/>
        <w:numPr>
          <w:ilvl w:val="1"/>
          <w:numId w:val="7"/>
        </w:numPr>
        <w:rPr>
          <w:rFonts w:eastAsia="Times New Roman"/>
        </w:rPr>
      </w:pPr>
      <w:r>
        <w:rPr>
          <w:rFonts w:eastAsia="Times New Roman"/>
        </w:rPr>
        <w:t>take blood pressure</w:t>
      </w:r>
    </w:p>
    <w:p w14:paraId="33D24E98" w14:textId="77777777" w:rsidR="00FC1ED6" w:rsidRDefault="00FC1ED6" w:rsidP="00FC1ED6">
      <w:pPr>
        <w:pStyle w:val="NoSpacing"/>
        <w:numPr>
          <w:ilvl w:val="1"/>
          <w:numId w:val="7"/>
        </w:numPr>
        <w:rPr>
          <w:rFonts w:eastAsia="Times New Roman"/>
        </w:rPr>
      </w:pPr>
      <w:r>
        <w:rPr>
          <w:rFonts w:eastAsia="Times New Roman"/>
        </w:rPr>
        <w:t>draw blood or collect urine to be sure child does not have  anemia, high blood sugar, lead poisoning, or other problems</w:t>
      </w:r>
    </w:p>
    <w:p w14:paraId="261DE274" w14:textId="77777777" w:rsidR="00FC1ED6" w:rsidRDefault="00FC1ED6" w:rsidP="00FC1ED6">
      <w:pPr>
        <w:pStyle w:val="NoSpacing"/>
        <w:numPr>
          <w:ilvl w:val="1"/>
          <w:numId w:val="7"/>
        </w:numPr>
        <w:rPr>
          <w:rFonts w:eastAsia="Times New Roman"/>
        </w:rPr>
      </w:pPr>
      <w:r>
        <w:rPr>
          <w:rFonts w:eastAsia="Times New Roman"/>
        </w:rPr>
        <w:t>test vision and hearing</w:t>
      </w:r>
    </w:p>
    <w:p w14:paraId="63854FAF" w14:textId="77777777" w:rsidR="00FC1ED6" w:rsidRDefault="00FC1ED6" w:rsidP="00FC1ED6">
      <w:pPr>
        <w:pStyle w:val="NoSpacing"/>
        <w:numPr>
          <w:ilvl w:val="0"/>
          <w:numId w:val="7"/>
        </w:numPr>
        <w:rPr>
          <w:rFonts w:eastAsia="Times New Roman"/>
        </w:rPr>
      </w:pPr>
      <w:r w:rsidRPr="00922D1D">
        <w:rPr>
          <w:rFonts w:eastAsia="Times New Roman"/>
          <w:b/>
          <w:bCs/>
        </w:rPr>
        <w:t>Immunization</w:t>
      </w:r>
      <w:r>
        <w:rPr>
          <w:rFonts w:eastAsia="Times New Roman"/>
        </w:rPr>
        <w:t>s – students can get their shots at the SBHC</w:t>
      </w:r>
    </w:p>
    <w:p w14:paraId="7EBBD719" w14:textId="77777777" w:rsidR="00F11A05" w:rsidRDefault="00FC1ED6" w:rsidP="00B0513D">
      <w:pPr>
        <w:pStyle w:val="NoSpacing"/>
      </w:pPr>
      <w:r>
        <w:t> </w:t>
      </w:r>
    </w:p>
    <w:p w14:paraId="123BF22E" w14:textId="0D2FA7B8" w:rsidR="00DE1B8E" w:rsidRPr="0031716D" w:rsidRDefault="00FC1ED6" w:rsidP="00DE1B8E">
      <w:pPr>
        <w:rPr>
          <w:rFonts w:ascii="Calibri" w:hAnsi="Calibri" w:cs="Calibri"/>
        </w:rPr>
      </w:pPr>
      <w:r w:rsidRPr="00B0513D">
        <w:rPr>
          <w:rFonts w:ascii="Calibri" w:hAnsi="Calibri" w:cs="Calibri"/>
          <w:b/>
          <w:bCs/>
        </w:rPr>
        <w:t>All other services</w:t>
      </w:r>
      <w:r>
        <w:rPr>
          <w:rFonts w:ascii="Calibri" w:hAnsi="Calibri" w:cs="Calibri"/>
        </w:rPr>
        <w:t xml:space="preserve"> </w:t>
      </w:r>
      <w:r w:rsidR="00F11A05">
        <w:rPr>
          <w:rFonts w:ascii="Calibri" w:hAnsi="Calibri" w:cs="Calibri"/>
        </w:rPr>
        <w:t>listed</w:t>
      </w:r>
      <w:r>
        <w:rPr>
          <w:rFonts w:ascii="Calibri" w:hAnsi="Calibri" w:cs="Calibri"/>
        </w:rPr>
        <w:t xml:space="preserve"> will result in a bill being sent to the insurance company</w:t>
      </w:r>
      <w:r w:rsidR="00943A12">
        <w:rPr>
          <w:rFonts w:ascii="Calibri" w:hAnsi="Calibri" w:cs="Calibri"/>
        </w:rPr>
        <w:t xml:space="preserve">. </w:t>
      </w:r>
      <w:r w:rsidR="001A5BBB">
        <w:t>I</w:t>
      </w:r>
      <w:r w:rsidR="00D46A79">
        <w:t xml:space="preserve">f the SBHC refers the </w:t>
      </w:r>
      <w:r w:rsidR="009A0FE9">
        <w:t>client</w:t>
      </w:r>
      <w:r w:rsidR="00D46A79">
        <w:t xml:space="preserve"> outside of the </w:t>
      </w:r>
      <w:r w:rsidR="00BE4B84">
        <w:t>center</w:t>
      </w:r>
      <w:r w:rsidR="00D46A79">
        <w:t xml:space="preserve"> </w:t>
      </w:r>
      <w:r w:rsidR="00D9770D">
        <w:t xml:space="preserve">to another medical provider for a test or procedure that cannot be </w:t>
      </w:r>
      <w:r w:rsidR="00BE4B84">
        <w:t>performed</w:t>
      </w:r>
      <w:r w:rsidR="00D9770D">
        <w:t xml:space="preserve"> in the SBHC </w:t>
      </w:r>
      <w:r w:rsidR="00BE4B84">
        <w:t xml:space="preserve">(i.e., </w:t>
      </w:r>
      <w:r w:rsidR="00D9770D">
        <w:t>X-rays, certain laboratory tests, etc.</w:t>
      </w:r>
      <w:r w:rsidR="00BE4B84">
        <w:t>),</w:t>
      </w:r>
      <w:r w:rsidR="00D9770D">
        <w:t xml:space="preserve"> </w:t>
      </w:r>
      <w:r w:rsidR="00BE4B84">
        <w:t xml:space="preserve">families </w:t>
      </w:r>
      <w:r w:rsidR="00D9770D">
        <w:t>may get a bill from that provider.</w:t>
      </w:r>
    </w:p>
    <w:p w14:paraId="3DBF1D97" w14:textId="583AD75D" w:rsidR="00D9770D" w:rsidRPr="00E0308B" w:rsidRDefault="00D9770D" w:rsidP="00DE1B8E">
      <w:pPr>
        <w:rPr>
          <w:b/>
          <w:bCs/>
        </w:rPr>
      </w:pPr>
      <w:r w:rsidRPr="00E0308B">
        <w:rPr>
          <w:b/>
          <w:bCs/>
        </w:rPr>
        <w:t>Primary and preventive health care/comprehensive history and physical exam include:</w:t>
      </w:r>
    </w:p>
    <w:p w14:paraId="0C7AF601" w14:textId="4FB8809B" w:rsidR="00D9770D" w:rsidRDefault="00D9770D" w:rsidP="00D9770D">
      <w:pPr>
        <w:pStyle w:val="ListParagraph"/>
        <w:numPr>
          <w:ilvl w:val="0"/>
          <w:numId w:val="1"/>
        </w:numPr>
      </w:pPr>
      <w:r>
        <w:t>Well child check-ups where the staff will:</w:t>
      </w:r>
    </w:p>
    <w:p w14:paraId="2E4CF695" w14:textId="01A027E2" w:rsidR="00D9770D" w:rsidRDefault="00D9770D" w:rsidP="00D9770D">
      <w:pPr>
        <w:pStyle w:val="ListParagraph"/>
        <w:numPr>
          <w:ilvl w:val="0"/>
          <w:numId w:val="2"/>
        </w:numPr>
      </w:pPr>
      <w:r>
        <w:t>Measure students’ height and weight</w:t>
      </w:r>
    </w:p>
    <w:p w14:paraId="7826C198" w14:textId="535CFF2D" w:rsidR="00D9770D" w:rsidRDefault="00D9770D" w:rsidP="00D9770D">
      <w:pPr>
        <w:pStyle w:val="ListParagraph"/>
        <w:numPr>
          <w:ilvl w:val="0"/>
          <w:numId w:val="2"/>
        </w:numPr>
      </w:pPr>
      <w:r>
        <w:t>Check if they weigh too much, too little, or are just right for their age, weight, and height</w:t>
      </w:r>
    </w:p>
    <w:p w14:paraId="31B64467" w14:textId="65155555" w:rsidR="00D9770D" w:rsidRDefault="00D9770D" w:rsidP="00D9770D">
      <w:pPr>
        <w:pStyle w:val="ListParagraph"/>
        <w:numPr>
          <w:ilvl w:val="0"/>
          <w:numId w:val="2"/>
        </w:numPr>
      </w:pPr>
      <w:r>
        <w:t>Take their blood pressure</w:t>
      </w:r>
    </w:p>
    <w:p w14:paraId="7E777AC9" w14:textId="474C908C" w:rsidR="00D9770D" w:rsidRDefault="00D9770D" w:rsidP="00D9770D">
      <w:pPr>
        <w:pStyle w:val="ListParagraph"/>
        <w:numPr>
          <w:ilvl w:val="0"/>
          <w:numId w:val="2"/>
        </w:numPr>
      </w:pPr>
      <w:r>
        <w:t>Draw some blood or collect some urine to be sure they do not have anemia, high blood sugar, lead poising, or other problems</w:t>
      </w:r>
    </w:p>
    <w:p w14:paraId="5170864B" w14:textId="68101C05" w:rsidR="00D9770D" w:rsidRDefault="00D9770D" w:rsidP="00D9770D">
      <w:pPr>
        <w:pStyle w:val="ListParagraph"/>
        <w:numPr>
          <w:ilvl w:val="0"/>
          <w:numId w:val="2"/>
        </w:numPr>
      </w:pPr>
      <w:r>
        <w:t>Test their vision and hearing</w:t>
      </w:r>
    </w:p>
    <w:p w14:paraId="4D0FDD55" w14:textId="1DB5F1EB" w:rsidR="00D9770D" w:rsidRDefault="00A41840" w:rsidP="00A41840">
      <w:pPr>
        <w:pStyle w:val="ListParagraph"/>
        <w:numPr>
          <w:ilvl w:val="0"/>
          <w:numId w:val="1"/>
        </w:numPr>
      </w:pPr>
      <w:r>
        <w:t>Immunizations – students can get their shots at the SBHC</w:t>
      </w:r>
    </w:p>
    <w:p w14:paraId="680E8A94" w14:textId="61505042" w:rsidR="00A41840" w:rsidRDefault="00A41840" w:rsidP="00A41840">
      <w:pPr>
        <w:pStyle w:val="ListParagraph"/>
        <w:numPr>
          <w:ilvl w:val="0"/>
          <w:numId w:val="1"/>
        </w:numPr>
      </w:pPr>
      <w:r>
        <w:t xml:space="preserve">Nutrition- the staff will talk to students about health eating habits including, eating good </w:t>
      </w:r>
      <w:r w:rsidR="00C54247">
        <w:t>foods (</w:t>
      </w:r>
      <w:r>
        <w:t>like fruits and vegetables</w:t>
      </w:r>
      <w:r w:rsidR="00D1551C">
        <w:t>),</w:t>
      </w:r>
      <w:r>
        <w:t xml:space="preserve"> and avoiding or limiting junk food</w:t>
      </w:r>
    </w:p>
    <w:p w14:paraId="114FD3F3" w14:textId="53E25403" w:rsidR="00C54247" w:rsidRDefault="00C54247" w:rsidP="00A41840">
      <w:pPr>
        <w:pStyle w:val="ListParagraph"/>
        <w:numPr>
          <w:ilvl w:val="0"/>
          <w:numId w:val="1"/>
        </w:numPr>
      </w:pPr>
      <w:r>
        <w:t xml:space="preserve">Health education- the staff will talk to students about doing healthy things like using a bike helmet and seat belts and getting exercise. They will also ask about unhealthy </w:t>
      </w:r>
      <w:r w:rsidR="003F2799">
        <w:t>habits that</w:t>
      </w:r>
      <w:r>
        <w:t xml:space="preserve"> have caused students to be sick and if they need medicine to help. The staff will talk to them about stopping these unhealthy habits and how to get help to </w:t>
      </w:r>
      <w:r w:rsidR="000844EA">
        <w:t>stop them</w:t>
      </w:r>
      <w:r>
        <w:t>.</w:t>
      </w:r>
    </w:p>
    <w:p w14:paraId="0B03E5BC" w14:textId="5607F5EA" w:rsidR="00C54247" w:rsidRDefault="00C54247" w:rsidP="00A41840">
      <w:pPr>
        <w:pStyle w:val="ListParagraph"/>
        <w:numPr>
          <w:ilvl w:val="0"/>
          <w:numId w:val="1"/>
        </w:numPr>
      </w:pPr>
      <w:r>
        <w:t>Comprehensive history means that the staff will ask students</w:t>
      </w:r>
      <w:r w:rsidR="00E41FBD">
        <w:t xml:space="preserve"> and/or parents</w:t>
      </w:r>
      <w:r>
        <w:t xml:space="preserve"> about:</w:t>
      </w:r>
    </w:p>
    <w:p w14:paraId="383D9B18" w14:textId="2239455F" w:rsidR="00C54247" w:rsidRDefault="00C54247" w:rsidP="00C54247">
      <w:pPr>
        <w:pStyle w:val="ListParagraph"/>
        <w:numPr>
          <w:ilvl w:val="1"/>
          <w:numId w:val="1"/>
        </w:numPr>
      </w:pPr>
      <w:r>
        <w:t>Past and current health</w:t>
      </w:r>
    </w:p>
    <w:p w14:paraId="0A27142C" w14:textId="5724BCE4" w:rsidR="00C54247" w:rsidRDefault="00C54247" w:rsidP="00C54247">
      <w:pPr>
        <w:pStyle w:val="ListParagraph"/>
        <w:numPr>
          <w:ilvl w:val="1"/>
          <w:numId w:val="1"/>
        </w:numPr>
      </w:pPr>
      <w:r>
        <w:t>Past illnesses or times spent in the hospital</w:t>
      </w:r>
    </w:p>
    <w:p w14:paraId="376F6CD7" w14:textId="5443C4BD" w:rsidR="00C54247" w:rsidRDefault="00C54247" w:rsidP="00C54247">
      <w:pPr>
        <w:pStyle w:val="ListParagraph"/>
        <w:numPr>
          <w:ilvl w:val="1"/>
          <w:numId w:val="1"/>
        </w:numPr>
      </w:pPr>
      <w:r>
        <w:t>Any allergies to medicines</w:t>
      </w:r>
    </w:p>
    <w:p w14:paraId="46DF7614" w14:textId="05EB0DF1" w:rsidR="00C54247" w:rsidRDefault="00C54247" w:rsidP="00C54247">
      <w:pPr>
        <w:pStyle w:val="ListParagraph"/>
        <w:numPr>
          <w:ilvl w:val="1"/>
          <w:numId w:val="1"/>
        </w:numPr>
      </w:pPr>
      <w:r>
        <w:t>Diseases that run in the family, like high blood pressure or high blood sugar</w:t>
      </w:r>
    </w:p>
    <w:p w14:paraId="25828FA6" w14:textId="1A5D62E1" w:rsidR="00AD44BF" w:rsidRDefault="00AD44BF" w:rsidP="00C54247">
      <w:pPr>
        <w:pStyle w:val="ListParagraph"/>
        <w:numPr>
          <w:ilvl w:val="1"/>
          <w:numId w:val="1"/>
        </w:numPr>
      </w:pPr>
      <w:r>
        <w:t>Using tobacco, alcohol, or drugs</w:t>
      </w:r>
    </w:p>
    <w:p w14:paraId="0BA71960" w14:textId="5F0C570B" w:rsidR="00AD44BF" w:rsidRDefault="00AD44BF" w:rsidP="00C54247">
      <w:pPr>
        <w:pStyle w:val="ListParagraph"/>
        <w:numPr>
          <w:ilvl w:val="1"/>
          <w:numId w:val="1"/>
        </w:numPr>
      </w:pPr>
      <w:r>
        <w:t>Feeling sad, depressed, and angry</w:t>
      </w:r>
    </w:p>
    <w:p w14:paraId="1EFB857B" w14:textId="2D1FFA06" w:rsidR="00AD44BF" w:rsidRDefault="008A29C5" w:rsidP="00AD44BF">
      <w:pPr>
        <w:pStyle w:val="ListParagraph"/>
        <w:numPr>
          <w:ilvl w:val="1"/>
          <w:numId w:val="1"/>
        </w:numPr>
      </w:pPr>
      <w:r>
        <w:t>Sexual behavior</w:t>
      </w:r>
      <w:r w:rsidR="00AD44BF">
        <w:tab/>
      </w:r>
    </w:p>
    <w:p w14:paraId="1D9D4793" w14:textId="42F04C26" w:rsidR="00192BB7" w:rsidRPr="004B49DA" w:rsidRDefault="00AD44BF" w:rsidP="009B2044">
      <w:pPr>
        <w:pStyle w:val="ListParagraph"/>
        <w:numPr>
          <w:ilvl w:val="0"/>
          <w:numId w:val="4"/>
        </w:numPr>
        <w:rPr>
          <w:b/>
          <w:bCs/>
        </w:rPr>
      </w:pPr>
      <w:r>
        <w:t xml:space="preserve">A physical exam means that the staff </w:t>
      </w:r>
      <w:r w:rsidR="009A0034">
        <w:t>may</w:t>
      </w:r>
      <w:r>
        <w:t xml:space="preserve"> ask a student to get undressed and put on a hospital gown or sheet. Then the staff will check all body systems to be sure that the student is healthy in all areas. This is the same thing that would happen in a </w:t>
      </w:r>
      <w:r w:rsidR="00086E79">
        <w:t>medical</w:t>
      </w:r>
      <w:r>
        <w:t xml:space="preserve"> office.</w:t>
      </w:r>
    </w:p>
    <w:p w14:paraId="0BAF8A42" w14:textId="77777777" w:rsidR="00E13E36" w:rsidRDefault="00E13E36" w:rsidP="00AD44BF">
      <w:pPr>
        <w:rPr>
          <w:b/>
          <w:bCs/>
        </w:rPr>
      </w:pPr>
    </w:p>
    <w:p w14:paraId="09E25843" w14:textId="77777777" w:rsidR="00E13E36" w:rsidRDefault="00E13E36" w:rsidP="00AD44BF">
      <w:pPr>
        <w:rPr>
          <w:b/>
          <w:bCs/>
        </w:rPr>
      </w:pPr>
    </w:p>
    <w:p w14:paraId="598A94D2" w14:textId="77777777" w:rsidR="00E13E36" w:rsidRDefault="00E13E36" w:rsidP="00AD44BF">
      <w:pPr>
        <w:rPr>
          <w:b/>
          <w:bCs/>
        </w:rPr>
      </w:pPr>
    </w:p>
    <w:p w14:paraId="0AC0CA4D" w14:textId="4B60BEF5" w:rsidR="00AD44BF" w:rsidRPr="00E0308B" w:rsidRDefault="00AD44BF" w:rsidP="00AD44BF">
      <w:pPr>
        <w:rPr>
          <w:b/>
          <w:bCs/>
        </w:rPr>
      </w:pPr>
      <w:r w:rsidRPr="00E0308B">
        <w:rPr>
          <w:b/>
          <w:bCs/>
        </w:rPr>
        <w:t>Services for sexually transmitted infections (STI) and HIV/</w:t>
      </w:r>
      <w:r w:rsidR="00510E75">
        <w:rPr>
          <w:b/>
          <w:bCs/>
        </w:rPr>
        <w:t>AIDS</w:t>
      </w:r>
      <w:r w:rsidRPr="00E0308B">
        <w:rPr>
          <w:b/>
          <w:bCs/>
        </w:rPr>
        <w:t>:</w:t>
      </w:r>
    </w:p>
    <w:p w14:paraId="45F4940D" w14:textId="66E563CA" w:rsidR="000152D0" w:rsidRDefault="00AD44BF" w:rsidP="00E06DD2">
      <w:pPr>
        <w:pStyle w:val="ListParagraph"/>
        <w:numPr>
          <w:ilvl w:val="0"/>
          <w:numId w:val="4"/>
        </w:numPr>
      </w:pPr>
      <w:r>
        <w:t xml:space="preserve">Students who are </w:t>
      </w:r>
      <w:r w:rsidR="006F0152">
        <w:t>engaging in sexual activity</w:t>
      </w:r>
      <w:r>
        <w:t xml:space="preserve"> may get infections that they do not know they have. These infections can make them sick and can make the person they are having sex with sick. If a person </w:t>
      </w:r>
      <w:r w:rsidR="003860F9">
        <w:t>does not</w:t>
      </w:r>
      <w:r>
        <w:t xml:space="preserve"> </w:t>
      </w:r>
      <w:r w:rsidR="003860F9">
        <w:t>take medicine, some of these infections can cause a person to not be able to have children. Some people who have not gotten medicine have died from STIs. The staff at the health center can test students for these infections and can give students medicine to get rid of infections if they have any. The staff will talk to students about not con</w:t>
      </w:r>
      <w:r w:rsidR="00427DBB">
        <w:t>tinuing to have sex and not giving STIs to other people.</w:t>
      </w:r>
    </w:p>
    <w:p w14:paraId="375C7713" w14:textId="44A7022A" w:rsidR="00427DBB" w:rsidRDefault="00427DBB" w:rsidP="00AD44BF">
      <w:pPr>
        <w:pStyle w:val="ListParagraph"/>
        <w:numPr>
          <w:ilvl w:val="0"/>
          <w:numId w:val="4"/>
        </w:numPr>
      </w:pPr>
      <w:r>
        <w:t>The staff can also test students to see if they have HIV/</w:t>
      </w:r>
      <w:r w:rsidR="00510E75">
        <w:t>AIDS</w:t>
      </w:r>
      <w:r>
        <w:t xml:space="preserve">. </w:t>
      </w:r>
      <w:r w:rsidR="00C0767E">
        <w:t>Medical providers</w:t>
      </w:r>
      <w:r>
        <w:t xml:space="preserve"> want everyone age 13 and older be tested for HIV/</w:t>
      </w:r>
      <w:r w:rsidR="00510E75">
        <w:t>AIDS</w:t>
      </w:r>
      <w:r>
        <w:t xml:space="preserve"> whether they are having sex or not. If a student does have HIV/</w:t>
      </w:r>
      <w:r w:rsidR="00510E75">
        <w:t>AIDS</w:t>
      </w:r>
      <w:r>
        <w:t>, they will be referred immediately to a doctor specializing in the care of this disease.</w:t>
      </w:r>
    </w:p>
    <w:p w14:paraId="103F717B" w14:textId="4BB727AB" w:rsidR="00427DBB" w:rsidRPr="00E0308B" w:rsidRDefault="00427DBB" w:rsidP="00427DBB">
      <w:pPr>
        <w:rPr>
          <w:b/>
          <w:bCs/>
        </w:rPr>
      </w:pPr>
      <w:r w:rsidRPr="00E0308B">
        <w:rPr>
          <w:b/>
          <w:bCs/>
        </w:rPr>
        <w:t>Chronic disease management:</w:t>
      </w:r>
    </w:p>
    <w:p w14:paraId="131D5BBA" w14:textId="3D13A389" w:rsidR="00E0308B" w:rsidRPr="00DE1B8E" w:rsidRDefault="00427DBB" w:rsidP="00CB7ABC">
      <w:pPr>
        <w:pStyle w:val="ListParagraph"/>
        <w:numPr>
          <w:ilvl w:val="0"/>
          <w:numId w:val="5"/>
        </w:numPr>
      </w:pPr>
      <w:r>
        <w:t xml:space="preserve">If students have diseases like asthma or diabetes, the staff can help them stay on their medicines and help them if they get sick at school. The staff can also help students </w:t>
      </w:r>
      <w:r w:rsidR="00E0308B">
        <w:t>learn how to live with their illnesses without getting sick as often.</w:t>
      </w:r>
    </w:p>
    <w:p w14:paraId="20C6882F" w14:textId="702D1FCD" w:rsidR="00DE1B8E" w:rsidRDefault="00E0308B" w:rsidP="00DE1B8E">
      <w:pPr>
        <w:rPr>
          <w:b/>
          <w:bCs/>
        </w:rPr>
      </w:pPr>
      <w:r>
        <w:rPr>
          <w:b/>
          <w:bCs/>
        </w:rPr>
        <w:t>Acute/ emergency care for minor illness and injury and referral for serious illness or injury:</w:t>
      </w:r>
    </w:p>
    <w:p w14:paraId="0E29FEAD" w14:textId="5F7E3A5D" w:rsidR="00E0308B" w:rsidRDefault="00E0308B" w:rsidP="00E0308B">
      <w:pPr>
        <w:pStyle w:val="ListParagraph"/>
        <w:numPr>
          <w:ilvl w:val="0"/>
          <w:numId w:val="5"/>
        </w:numPr>
      </w:pPr>
      <w:r>
        <w:t xml:space="preserve">The staff </w:t>
      </w:r>
      <w:r w:rsidR="00BD381F">
        <w:t>can provide</w:t>
      </w:r>
      <w:r>
        <w:t xml:space="preserve"> care f</w:t>
      </w:r>
      <w:r w:rsidR="00DD0C29">
        <w:t>or</w:t>
      </w:r>
      <w:r>
        <w:t xml:space="preserve"> cuts, headaches, colds, or other short-term problems</w:t>
      </w:r>
    </w:p>
    <w:p w14:paraId="30F646BD" w14:textId="43212090" w:rsidR="00E0308B" w:rsidRDefault="00E0308B" w:rsidP="00E0308B">
      <w:pPr>
        <w:pStyle w:val="ListParagraph"/>
        <w:numPr>
          <w:ilvl w:val="0"/>
          <w:numId w:val="5"/>
        </w:numPr>
      </w:pPr>
      <w:r>
        <w:t xml:space="preserve">The staff </w:t>
      </w:r>
      <w:r w:rsidR="00DD0C29">
        <w:t>can manage</w:t>
      </w:r>
      <w:r>
        <w:t xml:space="preserve"> emergency situations, like accidents on the </w:t>
      </w:r>
      <w:r w:rsidR="00034C86">
        <w:t>campus</w:t>
      </w:r>
    </w:p>
    <w:p w14:paraId="0F2A89E2" w14:textId="7E114668" w:rsidR="00E0308B" w:rsidRDefault="00E0308B" w:rsidP="00E0308B">
      <w:pPr>
        <w:pStyle w:val="ListParagraph"/>
        <w:numPr>
          <w:ilvl w:val="0"/>
          <w:numId w:val="5"/>
        </w:numPr>
      </w:pPr>
      <w:r>
        <w:t xml:space="preserve">The staff will be sure students get help from another </w:t>
      </w:r>
      <w:r w:rsidR="00452691">
        <w:t>practitioner</w:t>
      </w:r>
      <w:r>
        <w:t xml:space="preserve"> or hospital if </w:t>
      </w:r>
      <w:r w:rsidR="00E13409">
        <w:t>the SBHC cannot provide all the services the student</w:t>
      </w:r>
      <w:r w:rsidR="00720568">
        <w:t xml:space="preserve">s need. </w:t>
      </w:r>
    </w:p>
    <w:p w14:paraId="3828191F" w14:textId="18DF8B59" w:rsidR="00E0308B" w:rsidRDefault="00E0308B" w:rsidP="00E0308B">
      <w:pPr>
        <w:rPr>
          <w:b/>
          <w:bCs/>
        </w:rPr>
      </w:pPr>
      <w:r>
        <w:rPr>
          <w:b/>
          <w:bCs/>
        </w:rPr>
        <w:t>Behavioral Health services:</w:t>
      </w:r>
    </w:p>
    <w:p w14:paraId="09AF565B" w14:textId="74D86616" w:rsidR="00AC6B7A" w:rsidRPr="00014188" w:rsidRDefault="00532849" w:rsidP="00AC6B7A">
      <w:pPr>
        <w:pStyle w:val="ListParagraph"/>
        <w:numPr>
          <w:ilvl w:val="0"/>
          <w:numId w:val="8"/>
        </w:numPr>
      </w:pPr>
      <w:r>
        <w:t>The counselor c</w:t>
      </w:r>
      <w:r w:rsidR="00AC6B7A">
        <w:t xml:space="preserve">onducts </w:t>
      </w:r>
      <w:r>
        <w:t xml:space="preserve">a </w:t>
      </w:r>
      <w:r w:rsidR="00C202DB">
        <w:t xml:space="preserve">risk </w:t>
      </w:r>
      <w:r w:rsidR="00AC6B7A">
        <w:t>assessment</w:t>
      </w:r>
      <w:r w:rsidR="00014188">
        <w:t xml:space="preserve"> </w:t>
      </w:r>
      <w:r w:rsidR="00AC6B7A">
        <w:t xml:space="preserve"> </w:t>
      </w:r>
      <w:r w:rsidR="00014188">
        <w:t xml:space="preserve">to assist in </w:t>
      </w:r>
      <w:r w:rsidR="00014188" w:rsidRPr="00014188">
        <w:t>addressing the risk behaviors impacting health, well-being, and academic success in youth.</w:t>
      </w:r>
    </w:p>
    <w:p w14:paraId="3163E296" w14:textId="3AD6440B" w:rsidR="00E0308B" w:rsidRDefault="00532849" w:rsidP="00E0308B">
      <w:pPr>
        <w:pStyle w:val="ListParagraph"/>
        <w:numPr>
          <w:ilvl w:val="0"/>
          <w:numId w:val="6"/>
        </w:numPr>
      </w:pPr>
      <w:r>
        <w:t>The counselor t</w:t>
      </w:r>
      <w:r w:rsidR="00E0308B">
        <w:t xml:space="preserve">alks to students about healthy </w:t>
      </w:r>
      <w:r w:rsidR="008F1A91">
        <w:t>coping skills</w:t>
      </w:r>
      <w:r w:rsidR="00E0308B">
        <w:t xml:space="preserve"> </w:t>
      </w:r>
    </w:p>
    <w:p w14:paraId="2B982C0F" w14:textId="40500CCA" w:rsidR="00E0308B" w:rsidRDefault="00532849" w:rsidP="00E0308B">
      <w:pPr>
        <w:pStyle w:val="ListParagraph"/>
        <w:numPr>
          <w:ilvl w:val="0"/>
          <w:numId w:val="6"/>
        </w:numPr>
      </w:pPr>
      <w:r>
        <w:t>The counselor t</w:t>
      </w:r>
      <w:r w:rsidR="00E0308B">
        <w:t xml:space="preserve">alks to students about staying away from </w:t>
      </w:r>
      <w:r w:rsidR="00B4362A">
        <w:t xml:space="preserve">or stopping risky behaviors like using alcohol and/or drugs, smoking, vaping, </w:t>
      </w:r>
      <w:r w:rsidR="00E0308B">
        <w:t>sex</w:t>
      </w:r>
      <w:r w:rsidR="00B4362A">
        <w:t>ual activity</w:t>
      </w:r>
    </w:p>
    <w:p w14:paraId="1D4CA844" w14:textId="68F15A7E" w:rsidR="00CB7ABC" w:rsidRDefault="00532849" w:rsidP="00E0308B">
      <w:pPr>
        <w:pStyle w:val="ListParagraph"/>
        <w:numPr>
          <w:ilvl w:val="0"/>
          <w:numId w:val="6"/>
        </w:numPr>
      </w:pPr>
      <w:r>
        <w:t xml:space="preserve">The counselor </w:t>
      </w:r>
      <w:r w:rsidR="00234342">
        <w:t>t</w:t>
      </w:r>
      <w:r w:rsidR="00CB7ABC">
        <w:t>eaches students how to make good decisions</w:t>
      </w:r>
    </w:p>
    <w:p w14:paraId="34E33232" w14:textId="0F265948" w:rsidR="00CB7ABC" w:rsidRDefault="001064F5" w:rsidP="00E0308B">
      <w:pPr>
        <w:pStyle w:val="ListParagraph"/>
        <w:numPr>
          <w:ilvl w:val="0"/>
          <w:numId w:val="6"/>
        </w:numPr>
      </w:pPr>
      <w:r>
        <w:t>The counselor h</w:t>
      </w:r>
      <w:r w:rsidR="00CB7ABC">
        <w:t>elps students overcome feelings of sadness/depression</w:t>
      </w:r>
      <w:r w:rsidR="00FC0F7A">
        <w:t xml:space="preserve"> and </w:t>
      </w:r>
      <w:r w:rsidR="00014188">
        <w:t xml:space="preserve">anxiety </w:t>
      </w:r>
    </w:p>
    <w:p w14:paraId="7B6332C3" w14:textId="374E31A7" w:rsidR="008E447C" w:rsidRDefault="00665357" w:rsidP="00B4362A">
      <w:pPr>
        <w:pStyle w:val="ListParagraph"/>
        <w:numPr>
          <w:ilvl w:val="0"/>
          <w:numId w:val="6"/>
        </w:numPr>
      </w:pPr>
      <w:r>
        <w:t>The counselor w</w:t>
      </w:r>
      <w:r w:rsidR="00CB7ABC">
        <w:t>orks with students by themselves or in groups on anger control</w:t>
      </w:r>
      <w:r w:rsidR="00B4362A">
        <w:t>, expressing emotions in healthy ways</w:t>
      </w:r>
    </w:p>
    <w:p w14:paraId="6B7562C2" w14:textId="77777777" w:rsidR="004275E9" w:rsidRDefault="004275E9" w:rsidP="004275E9"/>
    <w:p w14:paraId="0CDB9C03" w14:textId="77777777" w:rsidR="004275E9" w:rsidRDefault="004275E9" w:rsidP="004275E9"/>
    <w:p w14:paraId="02F88167" w14:textId="77777777" w:rsidR="004275E9" w:rsidRDefault="004275E9" w:rsidP="004275E9"/>
    <w:p w14:paraId="2A6C6149" w14:textId="77777777" w:rsidR="004275E9" w:rsidRDefault="004275E9" w:rsidP="004275E9"/>
    <w:p w14:paraId="28C43063" w14:textId="77777777" w:rsidR="004275E9" w:rsidRDefault="004275E9" w:rsidP="004275E9"/>
    <w:p w14:paraId="3497CE18" w14:textId="77777777" w:rsidR="004275E9" w:rsidRDefault="004275E9" w:rsidP="004275E9"/>
    <w:p w14:paraId="6F4BDEC5" w14:textId="77777777" w:rsidR="004275E9" w:rsidRDefault="004275E9" w:rsidP="004275E9"/>
    <w:p w14:paraId="3427FEF6" w14:textId="77777777" w:rsidR="004E63B9" w:rsidRDefault="004E63B9" w:rsidP="004E63B9">
      <w:pPr>
        <w:pStyle w:val="Heading1"/>
        <w:kinsoku w:val="0"/>
        <w:overflowPunct w:val="0"/>
        <w:spacing w:before="80"/>
        <w:ind w:left="1613"/>
      </w:pPr>
    </w:p>
    <w:p w14:paraId="2F26A3D1" w14:textId="438A8548" w:rsidR="004E63B9" w:rsidRDefault="004E63B9" w:rsidP="004E63B9">
      <w:pPr>
        <w:pStyle w:val="Heading1"/>
        <w:kinsoku w:val="0"/>
        <w:overflowPunct w:val="0"/>
        <w:spacing w:before="80"/>
        <w:ind w:left="1613"/>
        <w:rPr>
          <w:u w:val="none"/>
        </w:rPr>
      </w:pPr>
      <w:r>
        <w:t>SLIDING</w:t>
      </w:r>
      <w:r>
        <w:rPr>
          <w:spacing w:val="-3"/>
        </w:rPr>
        <w:t xml:space="preserve"> </w:t>
      </w:r>
      <w:r>
        <w:t>FEE</w:t>
      </w:r>
      <w:r>
        <w:rPr>
          <w:spacing w:val="-3"/>
        </w:rPr>
        <w:t xml:space="preserve"> </w:t>
      </w:r>
      <w:r>
        <w:rPr>
          <w:spacing w:val="-2"/>
        </w:rPr>
        <w:t>DISCOUNT</w:t>
      </w:r>
    </w:p>
    <w:p w14:paraId="786756C6" w14:textId="77777777" w:rsidR="004E63B9" w:rsidRDefault="004E63B9" w:rsidP="004E63B9">
      <w:pPr>
        <w:pStyle w:val="BodyText"/>
        <w:kinsoku w:val="0"/>
        <w:overflowPunct w:val="0"/>
        <w:spacing w:before="1"/>
        <w:rPr>
          <w:b/>
          <w:bCs/>
          <w:sz w:val="10"/>
          <w:szCs w:val="10"/>
        </w:rPr>
      </w:pPr>
    </w:p>
    <w:p w14:paraId="2F78DF92" w14:textId="77777777" w:rsidR="004E63B9" w:rsidRDefault="004E63B9" w:rsidP="004E63B9">
      <w:pPr>
        <w:pStyle w:val="BodyText"/>
        <w:kinsoku w:val="0"/>
        <w:overflowPunct w:val="0"/>
        <w:spacing w:before="57"/>
        <w:ind w:left="200" w:right="115"/>
        <w:jc w:val="both"/>
      </w:pPr>
      <w:r>
        <w:t>As a Federally</w:t>
      </w:r>
      <w:r>
        <w:rPr>
          <w:spacing w:val="-1"/>
        </w:rPr>
        <w:t xml:space="preserve"> </w:t>
      </w:r>
      <w:r>
        <w:t>Qualified</w:t>
      </w:r>
      <w:r>
        <w:rPr>
          <w:spacing w:val="-3"/>
        </w:rPr>
        <w:t xml:space="preserve"> </w:t>
      </w:r>
      <w:r>
        <w:t>Health Center,</w:t>
      </w:r>
      <w:r>
        <w:rPr>
          <w:spacing w:val="-2"/>
        </w:rPr>
        <w:t xml:space="preserve"> </w:t>
      </w:r>
      <w:r>
        <w:t>Teche Action</w:t>
      </w:r>
      <w:r>
        <w:rPr>
          <w:spacing w:val="-3"/>
        </w:rPr>
        <w:t xml:space="preserve"> </w:t>
      </w:r>
      <w:r>
        <w:t>Clinic offers a</w:t>
      </w:r>
      <w:r>
        <w:rPr>
          <w:spacing w:val="-2"/>
        </w:rPr>
        <w:t xml:space="preserve"> </w:t>
      </w:r>
      <w:r w:rsidRPr="00B16ACE">
        <w:rPr>
          <w:b/>
          <w:bCs/>
        </w:rPr>
        <w:t>sliding fee</w:t>
      </w:r>
      <w:r w:rsidRPr="00B16ACE">
        <w:rPr>
          <w:b/>
          <w:bCs/>
          <w:spacing w:val="-1"/>
        </w:rPr>
        <w:t xml:space="preserve"> </w:t>
      </w:r>
      <w:r w:rsidRPr="00B16ACE">
        <w:rPr>
          <w:b/>
          <w:bCs/>
        </w:rPr>
        <w:t>discount</w:t>
      </w:r>
      <w:r>
        <w:t xml:space="preserve"> to</w:t>
      </w:r>
      <w:r>
        <w:rPr>
          <w:spacing w:val="-1"/>
        </w:rPr>
        <w:t xml:space="preserve"> </w:t>
      </w:r>
      <w:r>
        <w:t>all uninsured</w:t>
      </w:r>
      <w:r>
        <w:rPr>
          <w:spacing w:val="-3"/>
        </w:rPr>
        <w:t xml:space="preserve"> </w:t>
      </w:r>
      <w:r>
        <w:t xml:space="preserve">and underinsured individuals who qualify based on an approved </w:t>
      </w:r>
      <w:r w:rsidRPr="00B16ACE">
        <w:rPr>
          <w:b/>
          <w:bCs/>
        </w:rPr>
        <w:t>sliding fee scale</w:t>
      </w:r>
      <w:r>
        <w:t>. This Sliding Fee Scale is based on the United States Department of Health and Human Services (HHS) Federal Poverty Guidelines and uses household size and income to determine</w:t>
      </w:r>
      <w:r>
        <w:rPr>
          <w:spacing w:val="-1"/>
        </w:rPr>
        <w:t xml:space="preserve"> </w:t>
      </w:r>
      <w:r>
        <w:t>eligibility.</w:t>
      </w:r>
      <w:r>
        <w:rPr>
          <w:spacing w:val="40"/>
        </w:rPr>
        <w:t xml:space="preserve"> </w:t>
      </w:r>
      <w:r>
        <w:t>The</w:t>
      </w:r>
      <w:r>
        <w:rPr>
          <w:spacing w:val="-1"/>
        </w:rPr>
        <w:t xml:space="preserve"> </w:t>
      </w:r>
      <w:r>
        <w:t>Federal</w:t>
      </w:r>
      <w:r>
        <w:rPr>
          <w:spacing w:val="-2"/>
        </w:rPr>
        <w:t xml:space="preserve"> </w:t>
      </w:r>
      <w:r>
        <w:t>Poverty</w:t>
      </w:r>
      <w:r>
        <w:rPr>
          <w:spacing w:val="-1"/>
        </w:rPr>
        <w:t xml:space="preserve"> </w:t>
      </w:r>
      <w:r>
        <w:t>Guidelines</w:t>
      </w:r>
      <w:r>
        <w:rPr>
          <w:spacing w:val="-2"/>
        </w:rPr>
        <w:t xml:space="preserve"> </w:t>
      </w:r>
      <w:r>
        <w:t>assist</w:t>
      </w:r>
      <w:r>
        <w:rPr>
          <w:spacing w:val="-1"/>
        </w:rPr>
        <w:t xml:space="preserve"> </w:t>
      </w:r>
      <w:r>
        <w:t>Teche</w:t>
      </w:r>
      <w:r>
        <w:rPr>
          <w:spacing w:val="-1"/>
        </w:rPr>
        <w:t xml:space="preserve"> </w:t>
      </w:r>
      <w:r>
        <w:t>Action</w:t>
      </w:r>
      <w:r>
        <w:rPr>
          <w:spacing w:val="-3"/>
        </w:rPr>
        <w:t xml:space="preserve"> </w:t>
      </w:r>
      <w:r>
        <w:t>Clinic</w:t>
      </w:r>
      <w:r>
        <w:rPr>
          <w:spacing w:val="-1"/>
        </w:rPr>
        <w:t xml:space="preserve"> </w:t>
      </w:r>
      <w:r>
        <w:t>in</w:t>
      </w:r>
      <w:r>
        <w:rPr>
          <w:spacing w:val="-3"/>
        </w:rPr>
        <w:t xml:space="preserve"> </w:t>
      </w:r>
      <w:r>
        <w:t>assessing</w:t>
      </w:r>
      <w:r>
        <w:rPr>
          <w:spacing w:val="-3"/>
        </w:rPr>
        <w:t xml:space="preserve"> </w:t>
      </w:r>
      <w:r>
        <w:t>eligibility</w:t>
      </w:r>
      <w:r>
        <w:rPr>
          <w:spacing w:val="-1"/>
        </w:rPr>
        <w:t xml:space="preserve"> </w:t>
      </w:r>
      <w:r>
        <w:t>for</w:t>
      </w:r>
      <w:r>
        <w:rPr>
          <w:spacing w:val="-2"/>
        </w:rPr>
        <w:t xml:space="preserve"> </w:t>
      </w:r>
      <w:r>
        <w:t>individuals</w:t>
      </w:r>
      <w:r>
        <w:rPr>
          <w:spacing w:val="-2"/>
        </w:rPr>
        <w:t xml:space="preserve"> </w:t>
      </w:r>
      <w:r>
        <w:t>living at or below Federal Poverty Level (FPL).</w:t>
      </w:r>
      <w:r>
        <w:rPr>
          <w:spacing w:val="40"/>
        </w:rPr>
        <w:t xml:space="preserve"> </w:t>
      </w:r>
      <w:r>
        <w:t>Teche Action Clinic offers 4 distinct categories (A, B, C, and D) of discount eligibility, with Category A patients begin assessed a nominal fee for services.</w:t>
      </w:r>
    </w:p>
    <w:p w14:paraId="4B259E68" w14:textId="77777777" w:rsidR="004E63B9" w:rsidRDefault="004E63B9" w:rsidP="004E63B9">
      <w:pPr>
        <w:pStyle w:val="BodyText"/>
        <w:kinsoku w:val="0"/>
        <w:overflowPunct w:val="0"/>
        <w:spacing w:before="160"/>
        <w:ind w:left="200" w:right="114" w:hanging="1"/>
      </w:pPr>
      <w:r>
        <w:t>In</w:t>
      </w:r>
      <w:r>
        <w:rPr>
          <w:spacing w:val="-6"/>
        </w:rPr>
        <w:t xml:space="preserve"> </w:t>
      </w:r>
      <w:r>
        <w:t>order</w:t>
      </w:r>
      <w:r>
        <w:rPr>
          <w:spacing w:val="-6"/>
        </w:rPr>
        <w:t xml:space="preserve"> </w:t>
      </w:r>
      <w:r>
        <w:t>to</w:t>
      </w:r>
      <w:r>
        <w:rPr>
          <w:spacing w:val="-4"/>
        </w:rPr>
        <w:t xml:space="preserve"> </w:t>
      </w:r>
      <w:r>
        <w:t>apply</w:t>
      </w:r>
      <w:r>
        <w:rPr>
          <w:spacing w:val="-5"/>
        </w:rPr>
        <w:t xml:space="preserve"> </w:t>
      </w:r>
      <w:r>
        <w:t>for</w:t>
      </w:r>
      <w:r>
        <w:rPr>
          <w:spacing w:val="-6"/>
        </w:rPr>
        <w:t xml:space="preserve"> </w:t>
      </w:r>
      <w:r>
        <w:t>a</w:t>
      </w:r>
      <w:r>
        <w:rPr>
          <w:spacing w:val="-6"/>
        </w:rPr>
        <w:t xml:space="preserve"> </w:t>
      </w:r>
      <w:r>
        <w:t>Sliding</w:t>
      </w:r>
      <w:r>
        <w:rPr>
          <w:spacing w:val="-6"/>
        </w:rPr>
        <w:t xml:space="preserve"> </w:t>
      </w:r>
      <w:r>
        <w:t>Fee</w:t>
      </w:r>
      <w:r>
        <w:rPr>
          <w:spacing w:val="-5"/>
        </w:rPr>
        <w:t xml:space="preserve"> </w:t>
      </w:r>
      <w:r>
        <w:t>Discount,</w:t>
      </w:r>
      <w:r>
        <w:rPr>
          <w:spacing w:val="-6"/>
        </w:rPr>
        <w:t xml:space="preserve"> </w:t>
      </w:r>
      <w:r>
        <w:t>a</w:t>
      </w:r>
      <w:r>
        <w:rPr>
          <w:spacing w:val="-6"/>
        </w:rPr>
        <w:t xml:space="preserve"> </w:t>
      </w:r>
      <w:r>
        <w:t>patient</w:t>
      </w:r>
      <w:r>
        <w:rPr>
          <w:spacing w:val="-7"/>
        </w:rPr>
        <w:t xml:space="preserve"> </w:t>
      </w:r>
      <w:r>
        <w:rPr>
          <w:b/>
          <w:bCs/>
        </w:rPr>
        <w:t>must</w:t>
      </w:r>
      <w:r>
        <w:rPr>
          <w:b/>
          <w:bCs/>
          <w:spacing w:val="-5"/>
        </w:rPr>
        <w:t xml:space="preserve"> </w:t>
      </w:r>
      <w:r>
        <w:t>provide</w:t>
      </w:r>
      <w:r>
        <w:rPr>
          <w:spacing w:val="-5"/>
        </w:rPr>
        <w:t xml:space="preserve"> </w:t>
      </w:r>
      <w:r>
        <w:t>household</w:t>
      </w:r>
      <w:r>
        <w:rPr>
          <w:spacing w:val="-6"/>
        </w:rPr>
        <w:t xml:space="preserve"> </w:t>
      </w:r>
      <w:r>
        <w:t>size</w:t>
      </w:r>
      <w:r>
        <w:rPr>
          <w:spacing w:val="-5"/>
        </w:rPr>
        <w:t xml:space="preserve"> </w:t>
      </w:r>
      <w:r>
        <w:t>and</w:t>
      </w:r>
      <w:r>
        <w:rPr>
          <w:spacing w:val="-6"/>
        </w:rPr>
        <w:t xml:space="preserve"> </w:t>
      </w:r>
      <w:r>
        <w:t>proof</w:t>
      </w:r>
      <w:r>
        <w:rPr>
          <w:spacing w:val="-6"/>
        </w:rPr>
        <w:t xml:space="preserve"> </w:t>
      </w:r>
      <w:r>
        <w:t>of</w:t>
      </w:r>
      <w:r>
        <w:rPr>
          <w:spacing w:val="-6"/>
        </w:rPr>
        <w:t xml:space="preserve"> </w:t>
      </w:r>
      <w:r>
        <w:t>total</w:t>
      </w:r>
      <w:r>
        <w:rPr>
          <w:spacing w:val="-6"/>
        </w:rPr>
        <w:t xml:space="preserve"> </w:t>
      </w:r>
      <w:r>
        <w:t>household</w:t>
      </w:r>
      <w:r>
        <w:rPr>
          <w:spacing w:val="-6"/>
        </w:rPr>
        <w:t xml:space="preserve"> </w:t>
      </w:r>
      <w:r>
        <w:t>income</w:t>
      </w:r>
      <w:r>
        <w:rPr>
          <w:spacing w:val="-5"/>
        </w:rPr>
        <w:t xml:space="preserve"> </w:t>
      </w:r>
      <w:r>
        <w:t>at the</w:t>
      </w:r>
      <w:r>
        <w:rPr>
          <w:spacing w:val="-6"/>
        </w:rPr>
        <w:t xml:space="preserve"> </w:t>
      </w:r>
      <w:r>
        <w:t>time</w:t>
      </w:r>
      <w:r>
        <w:rPr>
          <w:spacing w:val="-8"/>
        </w:rPr>
        <w:t xml:space="preserve"> </w:t>
      </w:r>
      <w:r>
        <w:t>of</w:t>
      </w:r>
      <w:r>
        <w:rPr>
          <w:spacing w:val="-7"/>
        </w:rPr>
        <w:t xml:space="preserve"> </w:t>
      </w:r>
      <w:r>
        <w:t>service.</w:t>
      </w:r>
      <w:r>
        <w:rPr>
          <w:spacing w:val="-7"/>
        </w:rPr>
        <w:t xml:space="preserve"> </w:t>
      </w:r>
      <w:r>
        <w:t>Once</w:t>
      </w:r>
      <w:r>
        <w:rPr>
          <w:spacing w:val="-8"/>
        </w:rPr>
        <w:t xml:space="preserve"> </w:t>
      </w:r>
      <w:r>
        <w:t>eligibility</w:t>
      </w:r>
      <w:r>
        <w:rPr>
          <w:spacing w:val="-6"/>
        </w:rPr>
        <w:t xml:space="preserve"> </w:t>
      </w:r>
      <w:r>
        <w:t>is</w:t>
      </w:r>
      <w:r>
        <w:rPr>
          <w:spacing w:val="-6"/>
        </w:rPr>
        <w:t xml:space="preserve"> </w:t>
      </w:r>
      <w:r>
        <w:t>established,</w:t>
      </w:r>
      <w:r>
        <w:rPr>
          <w:spacing w:val="-7"/>
        </w:rPr>
        <w:t xml:space="preserve"> </w:t>
      </w:r>
      <w:r>
        <w:t>the</w:t>
      </w:r>
      <w:r>
        <w:rPr>
          <w:spacing w:val="-6"/>
        </w:rPr>
        <w:t xml:space="preserve"> </w:t>
      </w:r>
      <w:r>
        <w:t>patient’s</w:t>
      </w:r>
      <w:r>
        <w:rPr>
          <w:spacing w:val="-9"/>
        </w:rPr>
        <w:t xml:space="preserve"> </w:t>
      </w:r>
      <w:r>
        <w:t>charges</w:t>
      </w:r>
      <w:r>
        <w:rPr>
          <w:spacing w:val="-11"/>
        </w:rPr>
        <w:t xml:space="preserve"> </w:t>
      </w:r>
      <w:r>
        <w:t>may</w:t>
      </w:r>
      <w:r>
        <w:rPr>
          <w:spacing w:val="-6"/>
        </w:rPr>
        <w:t xml:space="preserve"> </w:t>
      </w:r>
      <w:r>
        <w:t>be</w:t>
      </w:r>
      <w:r>
        <w:rPr>
          <w:spacing w:val="-6"/>
        </w:rPr>
        <w:t xml:space="preserve"> </w:t>
      </w:r>
      <w:r>
        <w:t>discounted</w:t>
      </w:r>
      <w:r>
        <w:rPr>
          <w:spacing w:val="-7"/>
        </w:rPr>
        <w:t xml:space="preserve"> </w:t>
      </w:r>
      <w:r>
        <w:t>down</w:t>
      </w:r>
      <w:r>
        <w:rPr>
          <w:spacing w:val="-10"/>
        </w:rPr>
        <w:t xml:space="preserve"> </w:t>
      </w:r>
      <w:r>
        <w:t>to</w:t>
      </w:r>
      <w:r>
        <w:rPr>
          <w:spacing w:val="-8"/>
        </w:rPr>
        <w:t xml:space="preserve"> </w:t>
      </w:r>
      <w:r>
        <w:t>only</w:t>
      </w:r>
      <w:r>
        <w:rPr>
          <w:spacing w:val="-6"/>
        </w:rPr>
        <w:t xml:space="preserve"> </w:t>
      </w:r>
      <w:r>
        <w:t>a</w:t>
      </w:r>
      <w:r>
        <w:rPr>
          <w:spacing w:val="-7"/>
        </w:rPr>
        <w:t xml:space="preserve"> </w:t>
      </w:r>
      <w:r>
        <w:t>nominal</w:t>
      </w:r>
      <w:r>
        <w:rPr>
          <w:spacing w:val="-7"/>
        </w:rPr>
        <w:t xml:space="preserve"> </w:t>
      </w:r>
      <w:r>
        <w:t>fee.</w:t>
      </w:r>
      <w:r>
        <w:rPr>
          <w:spacing w:val="-7"/>
        </w:rPr>
        <w:t xml:space="preserve"> </w:t>
      </w:r>
      <w:r>
        <w:t>All patients must submit proof of income each year, or more frequently depending on circumstances, in order to continue receiving discounted services.</w:t>
      </w:r>
    </w:p>
    <w:p w14:paraId="7D3AE8B9" w14:textId="77777777" w:rsidR="004E63B9" w:rsidRDefault="004E63B9" w:rsidP="004E63B9">
      <w:pPr>
        <w:pStyle w:val="Heading1"/>
        <w:kinsoku w:val="0"/>
        <w:overflowPunct w:val="0"/>
        <w:spacing w:before="157"/>
        <w:ind w:left="1612"/>
        <w:rPr>
          <w:b w:val="0"/>
          <w:bCs w:val="0"/>
          <w:sz w:val="10"/>
          <w:szCs w:val="10"/>
        </w:rPr>
      </w:pPr>
      <w:r>
        <w:t>2024</w:t>
      </w:r>
      <w:r>
        <w:rPr>
          <w:spacing w:val="-5"/>
        </w:rPr>
        <w:t xml:space="preserve"> </w:t>
      </w:r>
      <w:r>
        <w:t>HHS</w:t>
      </w:r>
      <w:r>
        <w:rPr>
          <w:spacing w:val="-4"/>
        </w:rPr>
        <w:t xml:space="preserve"> </w:t>
      </w:r>
      <w:r>
        <w:t>FEDERAL</w:t>
      </w:r>
      <w:r>
        <w:rPr>
          <w:spacing w:val="-5"/>
        </w:rPr>
        <w:t xml:space="preserve"> </w:t>
      </w:r>
      <w:r>
        <w:t>POVERTY</w:t>
      </w:r>
      <w:r>
        <w:rPr>
          <w:spacing w:val="-4"/>
        </w:rPr>
        <w:t xml:space="preserve"> </w:t>
      </w:r>
      <w:r>
        <w:rPr>
          <w:spacing w:val="-2"/>
        </w:rPr>
        <w:t>GUIDELINES</w:t>
      </w:r>
    </w:p>
    <w:p w14:paraId="57FF0574" w14:textId="77777777" w:rsidR="004E63B9" w:rsidRDefault="004E63B9" w:rsidP="004E63B9">
      <w:pPr>
        <w:pStyle w:val="BodyText"/>
        <w:kinsoku w:val="0"/>
        <w:overflowPunct w:val="0"/>
        <w:spacing w:before="56"/>
        <w:ind w:left="1611" w:right="1532"/>
        <w:jc w:val="center"/>
        <w:rPr>
          <w:b/>
          <w:bCs/>
        </w:rPr>
      </w:pPr>
      <w:r>
        <w:rPr>
          <w:b/>
          <w:bCs/>
          <w:u w:val="single"/>
        </w:rPr>
        <w:t>100%</w:t>
      </w:r>
      <w:r>
        <w:rPr>
          <w:b/>
          <w:bCs/>
          <w:spacing w:val="-3"/>
          <w:u w:val="single"/>
        </w:rPr>
        <w:t xml:space="preserve"> </w:t>
      </w:r>
      <w:r>
        <w:rPr>
          <w:b/>
          <w:bCs/>
          <w:u w:val="single"/>
        </w:rPr>
        <w:t>at</w:t>
      </w:r>
      <w:r>
        <w:rPr>
          <w:b/>
          <w:bCs/>
          <w:spacing w:val="-2"/>
          <w:u w:val="single"/>
        </w:rPr>
        <w:t xml:space="preserve"> </w:t>
      </w:r>
      <w:r>
        <w:rPr>
          <w:b/>
          <w:bCs/>
          <w:u w:val="single"/>
        </w:rPr>
        <w:t>or</w:t>
      </w:r>
      <w:r>
        <w:rPr>
          <w:b/>
          <w:bCs/>
          <w:spacing w:val="-4"/>
          <w:u w:val="single"/>
        </w:rPr>
        <w:t xml:space="preserve"> </w:t>
      </w:r>
      <w:r>
        <w:rPr>
          <w:b/>
          <w:bCs/>
          <w:u w:val="single"/>
        </w:rPr>
        <w:t>below</w:t>
      </w:r>
      <w:r>
        <w:rPr>
          <w:b/>
          <w:bCs/>
          <w:spacing w:val="-3"/>
          <w:u w:val="single"/>
        </w:rPr>
        <w:t xml:space="preserve"> </w:t>
      </w:r>
      <w:r>
        <w:rPr>
          <w:b/>
          <w:bCs/>
          <w:spacing w:val="-5"/>
          <w:u w:val="single"/>
        </w:rPr>
        <w:t>FPL</w:t>
      </w:r>
    </w:p>
    <w:p w14:paraId="6D8123E8" w14:textId="77777777" w:rsidR="004E63B9" w:rsidRDefault="004E63B9" w:rsidP="004E63B9">
      <w:pPr>
        <w:pStyle w:val="BodyText"/>
        <w:kinsoku w:val="0"/>
        <w:overflowPunct w:val="0"/>
        <w:spacing w:before="5"/>
        <w:rPr>
          <w:b/>
          <w:bCs/>
          <w:sz w:val="18"/>
          <w:szCs w:val="18"/>
        </w:rPr>
      </w:pPr>
    </w:p>
    <w:tbl>
      <w:tblPr>
        <w:tblW w:w="0" w:type="auto"/>
        <w:tblInd w:w="540" w:type="dxa"/>
        <w:tblLayout w:type="fixed"/>
        <w:tblCellMar>
          <w:left w:w="0" w:type="dxa"/>
          <w:right w:w="0" w:type="dxa"/>
        </w:tblCellMar>
        <w:tblLook w:val="0000" w:firstRow="0" w:lastRow="0" w:firstColumn="0" w:lastColumn="0" w:noHBand="0" w:noVBand="0"/>
      </w:tblPr>
      <w:tblGrid>
        <w:gridCol w:w="1344"/>
        <w:gridCol w:w="2160"/>
        <w:gridCol w:w="2160"/>
        <w:gridCol w:w="2304"/>
        <w:gridCol w:w="2160"/>
      </w:tblGrid>
      <w:tr w:rsidR="004E63B9" w14:paraId="07B1DF46" w14:textId="77777777" w:rsidTr="0041181D">
        <w:tblPrEx>
          <w:tblCellMar>
            <w:top w:w="0" w:type="dxa"/>
            <w:left w:w="0" w:type="dxa"/>
            <w:bottom w:w="0" w:type="dxa"/>
            <w:right w:w="0" w:type="dxa"/>
          </w:tblCellMar>
        </w:tblPrEx>
        <w:trPr>
          <w:trHeight w:val="897"/>
        </w:trPr>
        <w:tc>
          <w:tcPr>
            <w:tcW w:w="1344" w:type="dxa"/>
            <w:tcBorders>
              <w:top w:val="none" w:sz="6" w:space="0" w:color="auto"/>
              <w:left w:val="none" w:sz="6" w:space="0" w:color="auto"/>
              <w:bottom w:val="none" w:sz="6" w:space="0" w:color="auto"/>
              <w:right w:val="none" w:sz="6" w:space="0" w:color="auto"/>
            </w:tcBorders>
          </w:tcPr>
          <w:p w14:paraId="0E4B6349" w14:textId="77777777" w:rsidR="004E63B9" w:rsidRDefault="004E63B9" w:rsidP="0041181D">
            <w:pPr>
              <w:pStyle w:val="TableParagraph"/>
              <w:kinsoku w:val="0"/>
              <w:overflowPunct w:val="0"/>
              <w:spacing w:line="225" w:lineRule="exact"/>
              <w:ind w:left="0" w:hanging="6"/>
              <w:rPr>
                <w:b/>
                <w:bCs/>
                <w:spacing w:val="-5"/>
                <w:sz w:val="22"/>
                <w:szCs w:val="22"/>
              </w:rPr>
            </w:pPr>
            <w:r>
              <w:rPr>
                <w:b/>
                <w:bCs/>
                <w:sz w:val="22"/>
                <w:szCs w:val="22"/>
              </w:rPr>
              <w:t>Number of Persons</w:t>
            </w:r>
            <w:r>
              <w:rPr>
                <w:b/>
                <w:bCs/>
                <w:spacing w:val="-8"/>
                <w:sz w:val="22"/>
                <w:szCs w:val="22"/>
              </w:rPr>
              <w:t xml:space="preserve"> </w:t>
            </w:r>
            <w:r>
              <w:rPr>
                <w:b/>
                <w:bCs/>
                <w:spacing w:val="-5"/>
                <w:sz w:val="22"/>
                <w:szCs w:val="22"/>
              </w:rPr>
              <w:t>in</w:t>
            </w:r>
          </w:p>
          <w:p w14:paraId="7D2C9F7D" w14:textId="77777777" w:rsidR="004E63B9" w:rsidRPr="003A4EF7" w:rsidRDefault="004E63B9" w:rsidP="0041181D">
            <w:pPr>
              <w:pStyle w:val="TableParagraph"/>
              <w:kinsoku w:val="0"/>
              <w:overflowPunct w:val="0"/>
              <w:spacing w:line="240" w:lineRule="auto"/>
              <w:ind w:left="0"/>
              <w:rPr>
                <w:b/>
                <w:bCs/>
                <w:spacing w:val="-2"/>
                <w:sz w:val="22"/>
                <w:szCs w:val="22"/>
                <w:u w:val="single"/>
              </w:rPr>
            </w:pPr>
            <w:r w:rsidRPr="003A4EF7">
              <w:rPr>
                <w:b/>
                <w:bCs/>
                <w:spacing w:val="-2"/>
                <w:sz w:val="22"/>
                <w:szCs w:val="22"/>
                <w:u w:val="single"/>
              </w:rPr>
              <w:t>Family</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33EF728D" w14:textId="77777777" w:rsidR="004E63B9" w:rsidRDefault="004E63B9" w:rsidP="0041181D">
            <w:pPr>
              <w:pStyle w:val="TableParagraph"/>
              <w:kinsoku w:val="0"/>
              <w:overflowPunct w:val="0"/>
              <w:spacing w:line="225" w:lineRule="exact"/>
              <w:ind w:left="230"/>
              <w:rPr>
                <w:b/>
                <w:bCs/>
                <w:spacing w:val="-4"/>
                <w:sz w:val="22"/>
                <w:szCs w:val="22"/>
              </w:rPr>
            </w:pPr>
            <w:r>
              <w:rPr>
                <w:b/>
                <w:bCs/>
                <w:spacing w:val="-2"/>
                <w:sz w:val="22"/>
                <w:szCs w:val="22"/>
              </w:rPr>
              <w:t>Income Guidelines</w:t>
            </w:r>
            <w:r>
              <w:rPr>
                <w:b/>
                <w:bCs/>
                <w:spacing w:val="80"/>
                <w:sz w:val="22"/>
                <w:szCs w:val="22"/>
              </w:rPr>
              <w:t xml:space="preserve"> </w:t>
            </w:r>
            <w:r>
              <w:rPr>
                <w:b/>
                <w:bCs/>
                <w:sz w:val="22"/>
                <w:szCs w:val="22"/>
              </w:rPr>
              <w:t>100%</w:t>
            </w:r>
            <w:r>
              <w:rPr>
                <w:b/>
                <w:bCs/>
                <w:spacing w:val="-13"/>
                <w:sz w:val="22"/>
                <w:szCs w:val="22"/>
              </w:rPr>
              <w:t xml:space="preserve"> </w:t>
            </w:r>
            <w:r>
              <w:rPr>
                <w:b/>
                <w:bCs/>
                <w:sz w:val="22"/>
                <w:szCs w:val="22"/>
              </w:rPr>
              <w:t>and</w:t>
            </w:r>
            <w:r>
              <w:rPr>
                <w:b/>
                <w:bCs/>
                <w:spacing w:val="-12"/>
                <w:sz w:val="22"/>
                <w:szCs w:val="22"/>
              </w:rPr>
              <w:t xml:space="preserve"> </w:t>
            </w:r>
            <w:r>
              <w:rPr>
                <w:b/>
                <w:bCs/>
                <w:sz w:val="22"/>
                <w:szCs w:val="22"/>
              </w:rPr>
              <w:t xml:space="preserve">below </w:t>
            </w:r>
            <w:r>
              <w:rPr>
                <w:b/>
                <w:bCs/>
                <w:spacing w:val="-4"/>
                <w:sz w:val="22"/>
                <w:szCs w:val="22"/>
              </w:rPr>
              <w:t>FPL</w:t>
            </w:r>
          </w:p>
          <w:p w14:paraId="040A53AF" w14:textId="77777777" w:rsidR="004E63B9" w:rsidRPr="00EB51EA" w:rsidRDefault="004E63B9" w:rsidP="0041181D">
            <w:pPr>
              <w:pStyle w:val="TableParagraph"/>
              <w:kinsoku w:val="0"/>
              <w:overflowPunct w:val="0"/>
              <w:spacing w:before="1" w:line="240" w:lineRule="auto"/>
              <w:ind w:left="230"/>
              <w:rPr>
                <w:b/>
                <w:bCs/>
                <w:spacing w:val="-10"/>
                <w:sz w:val="22"/>
                <w:szCs w:val="22"/>
                <w:u w:val="single"/>
              </w:rPr>
            </w:pPr>
            <w:r w:rsidRPr="00EB51EA">
              <w:rPr>
                <w:b/>
                <w:bCs/>
                <w:sz w:val="22"/>
                <w:szCs w:val="22"/>
                <w:u w:val="single"/>
              </w:rPr>
              <w:t>Category</w:t>
            </w:r>
            <w:r w:rsidRPr="00EB51EA">
              <w:rPr>
                <w:b/>
                <w:bCs/>
                <w:spacing w:val="-5"/>
                <w:sz w:val="22"/>
                <w:szCs w:val="22"/>
                <w:u w:val="single"/>
              </w:rPr>
              <w:t xml:space="preserve"> </w:t>
            </w:r>
            <w:r w:rsidRPr="00EB51EA">
              <w:rPr>
                <w:b/>
                <w:bCs/>
                <w:spacing w:val="-10"/>
                <w:sz w:val="22"/>
                <w:szCs w:val="22"/>
                <w:u w:val="single"/>
              </w:rPr>
              <w:t>A</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1B39067E" w14:textId="77777777" w:rsidR="004E63B9" w:rsidRDefault="004E63B9" w:rsidP="0041181D">
            <w:pPr>
              <w:pStyle w:val="TableParagraph"/>
              <w:kinsoku w:val="0"/>
              <w:overflowPunct w:val="0"/>
              <w:spacing w:line="225" w:lineRule="exact"/>
              <w:ind w:left="165"/>
              <w:rPr>
                <w:b/>
                <w:bCs/>
                <w:spacing w:val="-2"/>
                <w:sz w:val="22"/>
                <w:szCs w:val="22"/>
              </w:rPr>
            </w:pPr>
            <w:r>
              <w:rPr>
                <w:b/>
                <w:bCs/>
                <w:spacing w:val="-2"/>
                <w:sz w:val="22"/>
                <w:szCs w:val="22"/>
              </w:rPr>
              <w:t xml:space="preserve">Income Guidelines </w:t>
            </w:r>
          </w:p>
          <w:p w14:paraId="75BABFCD" w14:textId="77777777" w:rsidR="004E63B9" w:rsidRDefault="004E63B9" w:rsidP="0041181D">
            <w:pPr>
              <w:pStyle w:val="TableParagraph"/>
              <w:kinsoku w:val="0"/>
              <w:overflowPunct w:val="0"/>
              <w:spacing w:line="225" w:lineRule="exact"/>
              <w:ind w:left="165"/>
              <w:rPr>
                <w:b/>
                <w:bCs/>
                <w:spacing w:val="-4"/>
                <w:sz w:val="22"/>
                <w:szCs w:val="22"/>
              </w:rPr>
            </w:pPr>
            <w:r>
              <w:rPr>
                <w:b/>
                <w:bCs/>
                <w:sz w:val="22"/>
                <w:szCs w:val="22"/>
              </w:rPr>
              <w:t>101</w:t>
            </w:r>
            <w:r>
              <w:rPr>
                <w:b/>
                <w:bCs/>
                <w:spacing w:val="-13"/>
                <w:sz w:val="22"/>
                <w:szCs w:val="22"/>
              </w:rPr>
              <w:t xml:space="preserve"> </w:t>
            </w:r>
            <w:r>
              <w:rPr>
                <w:b/>
                <w:bCs/>
                <w:sz w:val="22"/>
                <w:szCs w:val="22"/>
              </w:rPr>
              <w:t>–</w:t>
            </w:r>
            <w:r>
              <w:rPr>
                <w:b/>
                <w:bCs/>
                <w:spacing w:val="-12"/>
                <w:sz w:val="22"/>
                <w:szCs w:val="22"/>
              </w:rPr>
              <w:t xml:space="preserve"> </w:t>
            </w:r>
            <w:r>
              <w:rPr>
                <w:b/>
                <w:bCs/>
                <w:sz w:val="22"/>
                <w:szCs w:val="22"/>
              </w:rPr>
              <w:t xml:space="preserve">135% above </w:t>
            </w:r>
            <w:r>
              <w:rPr>
                <w:b/>
                <w:bCs/>
                <w:spacing w:val="-4"/>
                <w:sz w:val="22"/>
                <w:szCs w:val="22"/>
              </w:rPr>
              <w:t>FPL</w:t>
            </w:r>
          </w:p>
          <w:p w14:paraId="185D05E0" w14:textId="77777777" w:rsidR="004E63B9" w:rsidRPr="00EB51EA" w:rsidRDefault="004E63B9" w:rsidP="0041181D">
            <w:pPr>
              <w:pStyle w:val="TableParagraph"/>
              <w:kinsoku w:val="0"/>
              <w:overflowPunct w:val="0"/>
              <w:spacing w:before="1" w:line="240" w:lineRule="auto"/>
              <w:ind w:left="165"/>
              <w:rPr>
                <w:b/>
                <w:bCs/>
                <w:spacing w:val="-10"/>
                <w:sz w:val="22"/>
                <w:szCs w:val="22"/>
                <w:u w:val="single"/>
              </w:rPr>
            </w:pPr>
            <w:r w:rsidRPr="00EB51EA">
              <w:rPr>
                <w:b/>
                <w:bCs/>
                <w:sz w:val="22"/>
                <w:szCs w:val="22"/>
                <w:u w:val="single"/>
              </w:rPr>
              <w:t>Category</w:t>
            </w:r>
            <w:r w:rsidRPr="00EB51EA">
              <w:rPr>
                <w:b/>
                <w:bCs/>
                <w:spacing w:val="-5"/>
                <w:sz w:val="22"/>
                <w:szCs w:val="22"/>
                <w:u w:val="single"/>
              </w:rPr>
              <w:t xml:space="preserve"> </w:t>
            </w:r>
            <w:r w:rsidRPr="00EB51EA">
              <w:rPr>
                <w:b/>
                <w:bCs/>
                <w:spacing w:val="-10"/>
                <w:sz w:val="22"/>
                <w:szCs w:val="22"/>
                <w:u w:val="single"/>
              </w:rPr>
              <w:t>B</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43B71327" w14:textId="77777777" w:rsidR="004E63B9" w:rsidRDefault="004E63B9" w:rsidP="0041181D">
            <w:pPr>
              <w:pStyle w:val="TableParagraph"/>
              <w:kinsoku w:val="0"/>
              <w:overflowPunct w:val="0"/>
              <w:spacing w:line="225" w:lineRule="exact"/>
              <w:rPr>
                <w:b/>
                <w:bCs/>
                <w:spacing w:val="-2"/>
                <w:sz w:val="22"/>
                <w:szCs w:val="22"/>
              </w:rPr>
            </w:pPr>
            <w:r>
              <w:rPr>
                <w:b/>
                <w:bCs/>
                <w:spacing w:val="-2"/>
                <w:sz w:val="22"/>
                <w:szCs w:val="22"/>
              </w:rPr>
              <w:t xml:space="preserve">Income Guidelines </w:t>
            </w:r>
          </w:p>
          <w:p w14:paraId="6166A285" w14:textId="77777777" w:rsidR="004E63B9" w:rsidRDefault="004E63B9" w:rsidP="0041181D">
            <w:pPr>
              <w:pStyle w:val="TableParagraph"/>
              <w:kinsoku w:val="0"/>
              <w:overflowPunct w:val="0"/>
              <w:spacing w:line="225" w:lineRule="exact"/>
              <w:rPr>
                <w:b/>
                <w:bCs/>
                <w:spacing w:val="-4"/>
                <w:sz w:val="22"/>
                <w:szCs w:val="22"/>
              </w:rPr>
            </w:pPr>
            <w:r>
              <w:rPr>
                <w:b/>
                <w:bCs/>
                <w:sz w:val="22"/>
                <w:szCs w:val="22"/>
              </w:rPr>
              <w:t>136</w:t>
            </w:r>
            <w:r>
              <w:rPr>
                <w:b/>
                <w:bCs/>
                <w:spacing w:val="-13"/>
                <w:sz w:val="22"/>
                <w:szCs w:val="22"/>
              </w:rPr>
              <w:t xml:space="preserve"> </w:t>
            </w:r>
            <w:r>
              <w:rPr>
                <w:b/>
                <w:bCs/>
                <w:sz w:val="22"/>
                <w:szCs w:val="22"/>
              </w:rPr>
              <w:t>–</w:t>
            </w:r>
            <w:r>
              <w:rPr>
                <w:b/>
                <w:bCs/>
                <w:spacing w:val="-12"/>
                <w:sz w:val="22"/>
                <w:szCs w:val="22"/>
              </w:rPr>
              <w:t xml:space="preserve"> </w:t>
            </w:r>
            <w:r>
              <w:rPr>
                <w:b/>
                <w:bCs/>
                <w:sz w:val="22"/>
                <w:szCs w:val="22"/>
              </w:rPr>
              <w:t xml:space="preserve">170% above </w:t>
            </w:r>
            <w:r>
              <w:rPr>
                <w:b/>
                <w:bCs/>
                <w:spacing w:val="-4"/>
                <w:sz w:val="22"/>
                <w:szCs w:val="22"/>
              </w:rPr>
              <w:t>FPL</w:t>
            </w:r>
          </w:p>
          <w:p w14:paraId="3975C2FA" w14:textId="77777777" w:rsidR="004E63B9" w:rsidRPr="00EB51EA" w:rsidRDefault="004E63B9" w:rsidP="0041181D">
            <w:pPr>
              <w:pStyle w:val="TableParagraph"/>
              <w:kinsoku w:val="0"/>
              <w:overflowPunct w:val="0"/>
              <w:spacing w:before="1" w:line="240" w:lineRule="auto"/>
              <w:rPr>
                <w:b/>
                <w:bCs/>
                <w:spacing w:val="-10"/>
                <w:sz w:val="22"/>
                <w:szCs w:val="22"/>
                <w:u w:val="single"/>
              </w:rPr>
            </w:pPr>
            <w:r w:rsidRPr="00EB51EA">
              <w:rPr>
                <w:b/>
                <w:bCs/>
                <w:sz w:val="22"/>
                <w:szCs w:val="22"/>
                <w:u w:val="single"/>
              </w:rPr>
              <w:t>Category</w:t>
            </w:r>
            <w:r w:rsidRPr="00EB51EA">
              <w:rPr>
                <w:b/>
                <w:bCs/>
                <w:spacing w:val="-5"/>
                <w:sz w:val="22"/>
                <w:szCs w:val="22"/>
                <w:u w:val="single"/>
              </w:rPr>
              <w:t xml:space="preserve"> </w:t>
            </w:r>
            <w:r w:rsidRPr="00EB51EA">
              <w:rPr>
                <w:b/>
                <w:bCs/>
                <w:spacing w:val="-10"/>
                <w:sz w:val="22"/>
                <w:szCs w:val="22"/>
                <w:u w:val="single"/>
              </w:rPr>
              <w:t>C</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75C5B18E" w14:textId="77777777" w:rsidR="004E63B9" w:rsidRDefault="004E63B9" w:rsidP="0041181D">
            <w:pPr>
              <w:pStyle w:val="TableParagraph"/>
              <w:kinsoku w:val="0"/>
              <w:overflowPunct w:val="0"/>
              <w:spacing w:line="225" w:lineRule="exact"/>
              <w:rPr>
                <w:b/>
                <w:bCs/>
                <w:spacing w:val="-4"/>
                <w:sz w:val="22"/>
                <w:szCs w:val="22"/>
              </w:rPr>
            </w:pPr>
            <w:r>
              <w:rPr>
                <w:b/>
                <w:bCs/>
                <w:spacing w:val="-2"/>
                <w:sz w:val="22"/>
                <w:szCs w:val="22"/>
              </w:rPr>
              <w:t xml:space="preserve">Income Guidelines 171-200% above </w:t>
            </w:r>
            <w:r>
              <w:rPr>
                <w:b/>
                <w:bCs/>
                <w:spacing w:val="-4"/>
                <w:sz w:val="22"/>
                <w:szCs w:val="22"/>
              </w:rPr>
              <w:t>FPL</w:t>
            </w:r>
          </w:p>
          <w:p w14:paraId="3C399264" w14:textId="77777777" w:rsidR="004E63B9" w:rsidRPr="00EB51EA" w:rsidRDefault="004E63B9" w:rsidP="0041181D">
            <w:pPr>
              <w:pStyle w:val="TableParagraph"/>
              <w:kinsoku w:val="0"/>
              <w:overflowPunct w:val="0"/>
              <w:spacing w:before="1" w:line="240" w:lineRule="auto"/>
              <w:rPr>
                <w:b/>
                <w:bCs/>
                <w:spacing w:val="-10"/>
                <w:sz w:val="22"/>
                <w:szCs w:val="22"/>
                <w:u w:val="single"/>
              </w:rPr>
            </w:pPr>
            <w:r w:rsidRPr="00EB51EA">
              <w:rPr>
                <w:b/>
                <w:bCs/>
                <w:sz w:val="22"/>
                <w:szCs w:val="22"/>
                <w:u w:val="single"/>
              </w:rPr>
              <w:t>Category</w:t>
            </w:r>
            <w:r w:rsidRPr="00EB51EA">
              <w:rPr>
                <w:b/>
                <w:bCs/>
                <w:spacing w:val="-5"/>
                <w:sz w:val="22"/>
                <w:szCs w:val="22"/>
                <w:u w:val="single"/>
              </w:rPr>
              <w:t xml:space="preserve"> </w:t>
            </w:r>
            <w:r w:rsidRPr="00EB51EA">
              <w:rPr>
                <w:b/>
                <w:bCs/>
                <w:spacing w:val="-10"/>
                <w:sz w:val="22"/>
                <w:szCs w:val="22"/>
                <w:u w:val="single"/>
              </w:rPr>
              <w:t>D</w:t>
            </w:r>
          </w:p>
        </w:tc>
      </w:tr>
      <w:tr w:rsidR="004E63B9" w14:paraId="67B2DA97" w14:textId="77777777" w:rsidTr="0041181D">
        <w:tblPrEx>
          <w:tblCellMar>
            <w:top w:w="0" w:type="dxa"/>
            <w:left w:w="0" w:type="dxa"/>
            <w:bottom w:w="0" w:type="dxa"/>
            <w:right w:w="0" w:type="dxa"/>
          </w:tblCellMar>
        </w:tblPrEx>
        <w:trPr>
          <w:trHeight w:val="267"/>
        </w:trPr>
        <w:tc>
          <w:tcPr>
            <w:tcW w:w="1344" w:type="dxa"/>
            <w:tcBorders>
              <w:top w:val="none" w:sz="6" w:space="0" w:color="auto"/>
              <w:left w:val="none" w:sz="6" w:space="0" w:color="auto"/>
              <w:bottom w:val="none" w:sz="6" w:space="0" w:color="auto"/>
              <w:right w:val="none" w:sz="6" w:space="0" w:color="auto"/>
            </w:tcBorders>
          </w:tcPr>
          <w:p w14:paraId="4DCF24D8" w14:textId="77777777" w:rsidR="004E63B9" w:rsidRDefault="004E63B9" w:rsidP="0041181D">
            <w:pPr>
              <w:pStyle w:val="TableParagraph"/>
              <w:kinsoku w:val="0"/>
              <w:overflowPunct w:val="0"/>
              <w:spacing w:line="248" w:lineRule="exact"/>
              <w:ind w:left="50"/>
              <w:rPr>
                <w:sz w:val="22"/>
                <w:szCs w:val="22"/>
              </w:rPr>
            </w:pPr>
            <w:r>
              <w:rPr>
                <w:sz w:val="22"/>
                <w:szCs w:val="22"/>
              </w:rPr>
              <w:t>1</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1EC556F3" w14:textId="77777777" w:rsidR="004E63B9" w:rsidRDefault="004E63B9" w:rsidP="0041181D">
            <w:pPr>
              <w:pStyle w:val="TableParagraph"/>
              <w:kinsoku w:val="0"/>
              <w:overflowPunct w:val="0"/>
              <w:spacing w:line="248" w:lineRule="exact"/>
              <w:ind w:left="230"/>
              <w:rPr>
                <w:b/>
                <w:bCs/>
                <w:spacing w:val="-2"/>
                <w:sz w:val="22"/>
                <w:szCs w:val="22"/>
              </w:rPr>
            </w:pPr>
            <w:r>
              <w:rPr>
                <w:b/>
                <w:bCs/>
                <w:spacing w:val="-2"/>
                <w:sz w:val="22"/>
                <w:szCs w:val="22"/>
              </w:rPr>
              <w:t>$15,060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13A57203" w14:textId="77777777" w:rsidR="004E63B9" w:rsidRDefault="004E63B9" w:rsidP="0041181D">
            <w:pPr>
              <w:pStyle w:val="TableParagraph"/>
              <w:kinsoku w:val="0"/>
              <w:overflowPunct w:val="0"/>
              <w:spacing w:line="248" w:lineRule="exact"/>
              <w:ind w:left="165"/>
              <w:rPr>
                <w:b/>
                <w:bCs/>
                <w:spacing w:val="-2"/>
                <w:sz w:val="22"/>
                <w:szCs w:val="22"/>
              </w:rPr>
            </w:pPr>
            <w:r>
              <w:rPr>
                <w:b/>
                <w:bCs/>
                <w:spacing w:val="-2"/>
                <w:sz w:val="22"/>
                <w:szCs w:val="22"/>
              </w:rPr>
              <w:t>$20,331</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4D138660" w14:textId="77777777" w:rsidR="004E63B9" w:rsidRDefault="004E63B9" w:rsidP="0041181D">
            <w:pPr>
              <w:pStyle w:val="TableParagraph"/>
              <w:kinsoku w:val="0"/>
              <w:overflowPunct w:val="0"/>
              <w:spacing w:line="248" w:lineRule="exact"/>
              <w:rPr>
                <w:b/>
                <w:bCs/>
                <w:spacing w:val="-2"/>
                <w:sz w:val="22"/>
                <w:szCs w:val="22"/>
              </w:rPr>
            </w:pPr>
            <w:r>
              <w:rPr>
                <w:b/>
                <w:bCs/>
                <w:spacing w:val="-2"/>
                <w:sz w:val="22"/>
                <w:szCs w:val="22"/>
              </w:rPr>
              <w:t>$25,602</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0116EDF1" w14:textId="77777777" w:rsidR="004E63B9" w:rsidRDefault="004E63B9" w:rsidP="0041181D">
            <w:pPr>
              <w:pStyle w:val="TableParagraph"/>
              <w:kinsoku w:val="0"/>
              <w:overflowPunct w:val="0"/>
              <w:spacing w:line="248" w:lineRule="exact"/>
              <w:ind w:left="233" w:right="314"/>
              <w:rPr>
                <w:b/>
                <w:bCs/>
                <w:spacing w:val="-2"/>
                <w:sz w:val="22"/>
                <w:szCs w:val="22"/>
              </w:rPr>
            </w:pPr>
            <w:r>
              <w:rPr>
                <w:b/>
                <w:bCs/>
                <w:spacing w:val="-2"/>
                <w:sz w:val="22"/>
                <w:szCs w:val="22"/>
              </w:rPr>
              <w:t>$30,120</w:t>
            </w:r>
          </w:p>
        </w:tc>
      </w:tr>
      <w:tr w:rsidR="004E63B9" w14:paraId="3F82AA91" w14:textId="77777777" w:rsidTr="0041181D">
        <w:tblPrEx>
          <w:tblCellMar>
            <w:top w:w="0" w:type="dxa"/>
            <w:left w:w="0" w:type="dxa"/>
            <w:bottom w:w="0" w:type="dxa"/>
            <w:right w:w="0" w:type="dxa"/>
          </w:tblCellMar>
        </w:tblPrEx>
        <w:trPr>
          <w:trHeight w:val="267"/>
        </w:trPr>
        <w:tc>
          <w:tcPr>
            <w:tcW w:w="1344" w:type="dxa"/>
            <w:tcBorders>
              <w:top w:val="none" w:sz="6" w:space="0" w:color="auto"/>
              <w:left w:val="none" w:sz="6" w:space="0" w:color="auto"/>
              <w:bottom w:val="none" w:sz="6" w:space="0" w:color="auto"/>
              <w:right w:val="none" w:sz="6" w:space="0" w:color="auto"/>
            </w:tcBorders>
          </w:tcPr>
          <w:p w14:paraId="5378BADB" w14:textId="77777777" w:rsidR="004E63B9" w:rsidRDefault="004E63B9" w:rsidP="0041181D">
            <w:pPr>
              <w:pStyle w:val="TableParagraph"/>
              <w:kinsoku w:val="0"/>
              <w:overflowPunct w:val="0"/>
              <w:spacing w:line="247" w:lineRule="exact"/>
              <w:ind w:left="50"/>
              <w:rPr>
                <w:sz w:val="22"/>
                <w:szCs w:val="22"/>
              </w:rPr>
            </w:pPr>
            <w:r>
              <w:rPr>
                <w:sz w:val="22"/>
                <w:szCs w:val="22"/>
              </w:rPr>
              <w:t>2</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59A54D5B" w14:textId="77777777" w:rsidR="004E63B9" w:rsidRDefault="004E63B9" w:rsidP="0041181D">
            <w:pPr>
              <w:pStyle w:val="TableParagraph"/>
              <w:kinsoku w:val="0"/>
              <w:overflowPunct w:val="0"/>
              <w:spacing w:line="247" w:lineRule="exact"/>
              <w:ind w:left="230"/>
              <w:rPr>
                <w:b/>
                <w:bCs/>
                <w:spacing w:val="-2"/>
                <w:sz w:val="22"/>
                <w:szCs w:val="22"/>
              </w:rPr>
            </w:pPr>
            <w:r>
              <w:rPr>
                <w:b/>
                <w:bCs/>
                <w:spacing w:val="-2"/>
                <w:sz w:val="22"/>
                <w:szCs w:val="22"/>
              </w:rPr>
              <w:t>$20,440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3595882E" w14:textId="77777777" w:rsidR="004E63B9" w:rsidRDefault="004E63B9" w:rsidP="0041181D">
            <w:pPr>
              <w:pStyle w:val="TableParagraph"/>
              <w:kinsoku w:val="0"/>
              <w:overflowPunct w:val="0"/>
              <w:spacing w:line="247" w:lineRule="exact"/>
              <w:ind w:left="165"/>
              <w:rPr>
                <w:b/>
                <w:bCs/>
                <w:spacing w:val="-2"/>
                <w:sz w:val="22"/>
                <w:szCs w:val="22"/>
              </w:rPr>
            </w:pPr>
            <w:r>
              <w:rPr>
                <w:b/>
                <w:bCs/>
                <w:spacing w:val="-2"/>
                <w:sz w:val="22"/>
                <w:szCs w:val="22"/>
              </w:rPr>
              <w:t>$27,594</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44962AAC" w14:textId="77777777" w:rsidR="004E63B9" w:rsidRDefault="004E63B9" w:rsidP="0041181D">
            <w:pPr>
              <w:pStyle w:val="TableParagraph"/>
              <w:kinsoku w:val="0"/>
              <w:overflowPunct w:val="0"/>
              <w:spacing w:line="247" w:lineRule="exact"/>
              <w:rPr>
                <w:b/>
                <w:bCs/>
                <w:spacing w:val="-2"/>
                <w:sz w:val="22"/>
                <w:szCs w:val="22"/>
              </w:rPr>
            </w:pPr>
            <w:r>
              <w:rPr>
                <w:b/>
                <w:bCs/>
                <w:spacing w:val="-2"/>
                <w:sz w:val="22"/>
                <w:szCs w:val="22"/>
              </w:rPr>
              <w:t>$34,748</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4FEFD9C8" w14:textId="77777777" w:rsidR="004E63B9" w:rsidRDefault="004E63B9" w:rsidP="0041181D">
            <w:pPr>
              <w:pStyle w:val="TableParagraph"/>
              <w:kinsoku w:val="0"/>
              <w:overflowPunct w:val="0"/>
              <w:spacing w:line="247" w:lineRule="exact"/>
              <w:ind w:left="233" w:right="314"/>
              <w:rPr>
                <w:b/>
                <w:bCs/>
                <w:spacing w:val="-2"/>
                <w:sz w:val="22"/>
                <w:szCs w:val="22"/>
              </w:rPr>
            </w:pPr>
            <w:r>
              <w:rPr>
                <w:b/>
                <w:bCs/>
                <w:spacing w:val="-2"/>
                <w:sz w:val="22"/>
                <w:szCs w:val="22"/>
              </w:rPr>
              <w:t>$40,880</w:t>
            </w:r>
          </w:p>
        </w:tc>
      </w:tr>
      <w:tr w:rsidR="004E63B9" w14:paraId="76FA59FA"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12D65F82" w14:textId="77777777" w:rsidR="004E63B9" w:rsidRDefault="004E63B9" w:rsidP="0041181D">
            <w:pPr>
              <w:pStyle w:val="TableParagraph"/>
              <w:kinsoku w:val="0"/>
              <w:overflowPunct w:val="0"/>
              <w:ind w:left="50"/>
              <w:rPr>
                <w:sz w:val="22"/>
                <w:szCs w:val="22"/>
              </w:rPr>
            </w:pPr>
            <w:r>
              <w:rPr>
                <w:sz w:val="22"/>
                <w:szCs w:val="22"/>
              </w:rPr>
              <w:t>3</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451AC81B" w14:textId="77777777" w:rsidR="004E63B9" w:rsidRDefault="004E63B9" w:rsidP="0041181D">
            <w:pPr>
              <w:pStyle w:val="TableParagraph"/>
              <w:kinsoku w:val="0"/>
              <w:overflowPunct w:val="0"/>
              <w:ind w:left="230"/>
              <w:rPr>
                <w:b/>
                <w:bCs/>
                <w:spacing w:val="-2"/>
                <w:sz w:val="22"/>
                <w:szCs w:val="22"/>
              </w:rPr>
            </w:pPr>
            <w:r>
              <w:rPr>
                <w:b/>
                <w:bCs/>
                <w:spacing w:val="-2"/>
                <w:sz w:val="22"/>
                <w:szCs w:val="22"/>
              </w:rPr>
              <w:t>$25,820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2F7B9165" w14:textId="77777777" w:rsidR="004E63B9" w:rsidRDefault="004E63B9" w:rsidP="0041181D">
            <w:pPr>
              <w:pStyle w:val="TableParagraph"/>
              <w:kinsoku w:val="0"/>
              <w:overflowPunct w:val="0"/>
              <w:ind w:left="165"/>
              <w:rPr>
                <w:b/>
                <w:bCs/>
                <w:spacing w:val="-2"/>
                <w:sz w:val="22"/>
                <w:szCs w:val="22"/>
              </w:rPr>
            </w:pPr>
            <w:r>
              <w:rPr>
                <w:b/>
                <w:bCs/>
                <w:spacing w:val="-2"/>
                <w:sz w:val="22"/>
                <w:szCs w:val="22"/>
              </w:rPr>
              <w:t>$34,857</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3285A483" w14:textId="77777777" w:rsidR="004E63B9" w:rsidRDefault="004E63B9" w:rsidP="0041181D">
            <w:pPr>
              <w:pStyle w:val="TableParagraph"/>
              <w:kinsoku w:val="0"/>
              <w:overflowPunct w:val="0"/>
              <w:rPr>
                <w:b/>
                <w:bCs/>
                <w:spacing w:val="-2"/>
                <w:sz w:val="22"/>
                <w:szCs w:val="22"/>
              </w:rPr>
            </w:pPr>
            <w:r>
              <w:rPr>
                <w:b/>
                <w:bCs/>
                <w:spacing w:val="-2"/>
                <w:sz w:val="22"/>
                <w:szCs w:val="22"/>
              </w:rPr>
              <w:t>$43,894</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4C0500BE"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$51,640</w:t>
            </w:r>
          </w:p>
        </w:tc>
      </w:tr>
      <w:tr w:rsidR="004E63B9" w14:paraId="0D0A2614"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7D5ACDAB" w14:textId="77777777" w:rsidR="004E63B9" w:rsidRDefault="004E63B9" w:rsidP="0041181D">
            <w:pPr>
              <w:pStyle w:val="TableParagraph"/>
              <w:kinsoku w:val="0"/>
              <w:overflowPunct w:val="0"/>
              <w:ind w:left="50"/>
              <w:rPr>
                <w:sz w:val="22"/>
                <w:szCs w:val="22"/>
              </w:rPr>
            </w:pPr>
            <w:r>
              <w:rPr>
                <w:sz w:val="22"/>
                <w:szCs w:val="22"/>
              </w:rPr>
              <w:t>4</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1F911115" w14:textId="77777777" w:rsidR="004E63B9" w:rsidRDefault="004E63B9" w:rsidP="0041181D">
            <w:pPr>
              <w:pStyle w:val="TableParagraph"/>
              <w:kinsoku w:val="0"/>
              <w:overflowPunct w:val="0"/>
              <w:ind w:left="230"/>
              <w:rPr>
                <w:b/>
                <w:bCs/>
                <w:spacing w:val="-2"/>
                <w:sz w:val="22"/>
                <w:szCs w:val="22"/>
              </w:rPr>
            </w:pPr>
            <w:r>
              <w:rPr>
                <w:b/>
                <w:bCs/>
                <w:spacing w:val="-2"/>
                <w:sz w:val="22"/>
                <w:szCs w:val="22"/>
              </w:rPr>
              <w:t>$31,200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1B492521" w14:textId="77777777" w:rsidR="004E63B9" w:rsidRDefault="004E63B9" w:rsidP="0041181D">
            <w:pPr>
              <w:pStyle w:val="TableParagraph"/>
              <w:kinsoku w:val="0"/>
              <w:overflowPunct w:val="0"/>
              <w:ind w:left="165"/>
              <w:rPr>
                <w:b/>
                <w:bCs/>
                <w:spacing w:val="-2"/>
                <w:sz w:val="22"/>
                <w:szCs w:val="22"/>
              </w:rPr>
            </w:pPr>
            <w:r>
              <w:rPr>
                <w:b/>
                <w:bCs/>
                <w:spacing w:val="-2"/>
                <w:sz w:val="22"/>
                <w:szCs w:val="22"/>
              </w:rPr>
              <w:t>$42,120</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602215F0" w14:textId="77777777" w:rsidR="004E63B9" w:rsidRDefault="004E63B9" w:rsidP="0041181D">
            <w:pPr>
              <w:pStyle w:val="TableParagraph"/>
              <w:kinsoku w:val="0"/>
              <w:overflowPunct w:val="0"/>
              <w:rPr>
                <w:b/>
                <w:bCs/>
                <w:spacing w:val="-2"/>
                <w:sz w:val="22"/>
                <w:szCs w:val="22"/>
              </w:rPr>
            </w:pPr>
            <w:r>
              <w:rPr>
                <w:b/>
                <w:bCs/>
                <w:spacing w:val="-2"/>
                <w:sz w:val="22"/>
                <w:szCs w:val="22"/>
              </w:rPr>
              <w:t>$53,040</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16B085CF"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$62,400</w:t>
            </w:r>
          </w:p>
        </w:tc>
      </w:tr>
      <w:tr w:rsidR="004E63B9" w14:paraId="344404AE"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59637281" w14:textId="77777777" w:rsidR="004E63B9" w:rsidRDefault="004E63B9" w:rsidP="0041181D">
            <w:pPr>
              <w:pStyle w:val="TableParagraph"/>
              <w:kinsoku w:val="0"/>
              <w:overflowPunct w:val="0"/>
              <w:ind w:left="50"/>
              <w:rPr>
                <w:sz w:val="22"/>
                <w:szCs w:val="22"/>
              </w:rPr>
            </w:pPr>
            <w:r>
              <w:rPr>
                <w:sz w:val="22"/>
                <w:szCs w:val="22"/>
              </w:rPr>
              <w:t>5</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572CA344" w14:textId="77777777" w:rsidR="004E63B9" w:rsidRDefault="004E63B9" w:rsidP="0041181D">
            <w:pPr>
              <w:pStyle w:val="TableParagraph"/>
              <w:kinsoku w:val="0"/>
              <w:overflowPunct w:val="0"/>
              <w:ind w:left="230"/>
              <w:rPr>
                <w:b/>
                <w:bCs/>
                <w:spacing w:val="-2"/>
                <w:sz w:val="22"/>
                <w:szCs w:val="22"/>
              </w:rPr>
            </w:pPr>
            <w:r>
              <w:rPr>
                <w:b/>
                <w:bCs/>
                <w:spacing w:val="-2"/>
                <w:sz w:val="22"/>
                <w:szCs w:val="22"/>
              </w:rPr>
              <w:t>$36,580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668050D3" w14:textId="77777777" w:rsidR="004E63B9" w:rsidRDefault="004E63B9" w:rsidP="0041181D">
            <w:pPr>
              <w:pStyle w:val="TableParagraph"/>
              <w:kinsoku w:val="0"/>
              <w:overflowPunct w:val="0"/>
              <w:ind w:left="165"/>
              <w:rPr>
                <w:b/>
                <w:bCs/>
                <w:spacing w:val="-2"/>
                <w:sz w:val="22"/>
                <w:szCs w:val="22"/>
              </w:rPr>
            </w:pPr>
            <w:r>
              <w:rPr>
                <w:b/>
                <w:bCs/>
                <w:spacing w:val="-2"/>
                <w:sz w:val="22"/>
                <w:szCs w:val="22"/>
              </w:rPr>
              <w:t>$49,383</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63A9A8C9" w14:textId="77777777" w:rsidR="004E63B9" w:rsidRDefault="004E63B9" w:rsidP="0041181D">
            <w:pPr>
              <w:pStyle w:val="TableParagraph"/>
              <w:kinsoku w:val="0"/>
              <w:overflowPunct w:val="0"/>
              <w:rPr>
                <w:b/>
                <w:bCs/>
                <w:spacing w:val="-2"/>
                <w:sz w:val="22"/>
                <w:szCs w:val="22"/>
              </w:rPr>
            </w:pPr>
            <w:r>
              <w:rPr>
                <w:b/>
                <w:bCs/>
                <w:spacing w:val="-2"/>
                <w:sz w:val="22"/>
                <w:szCs w:val="22"/>
              </w:rPr>
              <w:t>$62,186</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7EBD03B4"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$73,160</w:t>
            </w:r>
          </w:p>
        </w:tc>
      </w:tr>
      <w:tr w:rsidR="004E63B9" w14:paraId="4F4F386C"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30745D74" w14:textId="77777777" w:rsidR="004E63B9" w:rsidRDefault="004E63B9" w:rsidP="0041181D">
            <w:pPr>
              <w:pStyle w:val="TableParagraph"/>
              <w:kinsoku w:val="0"/>
              <w:overflowPunct w:val="0"/>
              <w:ind w:left="50"/>
              <w:rPr>
                <w:sz w:val="22"/>
                <w:szCs w:val="22"/>
              </w:rPr>
            </w:pPr>
            <w:r>
              <w:rPr>
                <w:sz w:val="22"/>
                <w:szCs w:val="22"/>
              </w:rPr>
              <w:t>6</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7B320799" w14:textId="77777777" w:rsidR="004E63B9" w:rsidRDefault="004E63B9" w:rsidP="0041181D">
            <w:pPr>
              <w:pStyle w:val="TableParagraph"/>
              <w:kinsoku w:val="0"/>
              <w:overflowPunct w:val="0"/>
              <w:ind w:left="230"/>
              <w:rPr>
                <w:b/>
                <w:bCs/>
                <w:spacing w:val="-2"/>
                <w:sz w:val="22"/>
                <w:szCs w:val="22"/>
              </w:rPr>
            </w:pPr>
            <w:r>
              <w:rPr>
                <w:b/>
                <w:bCs/>
                <w:spacing w:val="-2"/>
                <w:sz w:val="22"/>
                <w:szCs w:val="22"/>
              </w:rPr>
              <w:t>$41,960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495A7E54" w14:textId="77777777" w:rsidR="004E63B9" w:rsidRDefault="004E63B9" w:rsidP="0041181D">
            <w:pPr>
              <w:pStyle w:val="TableParagraph"/>
              <w:kinsoku w:val="0"/>
              <w:overflowPunct w:val="0"/>
              <w:ind w:left="165"/>
              <w:rPr>
                <w:b/>
                <w:bCs/>
                <w:spacing w:val="-2"/>
                <w:sz w:val="22"/>
                <w:szCs w:val="22"/>
              </w:rPr>
            </w:pPr>
            <w:r>
              <w:rPr>
                <w:b/>
                <w:bCs/>
                <w:spacing w:val="-2"/>
                <w:sz w:val="22"/>
                <w:szCs w:val="22"/>
              </w:rPr>
              <w:t>$56,646</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2FAD3F33" w14:textId="77777777" w:rsidR="004E63B9" w:rsidRDefault="004E63B9" w:rsidP="0041181D">
            <w:pPr>
              <w:pStyle w:val="TableParagraph"/>
              <w:kinsoku w:val="0"/>
              <w:overflowPunct w:val="0"/>
              <w:rPr>
                <w:b/>
                <w:bCs/>
                <w:spacing w:val="-2"/>
                <w:sz w:val="22"/>
                <w:szCs w:val="22"/>
              </w:rPr>
            </w:pPr>
            <w:r>
              <w:rPr>
                <w:b/>
                <w:bCs/>
                <w:spacing w:val="-2"/>
                <w:sz w:val="22"/>
                <w:szCs w:val="22"/>
              </w:rPr>
              <w:t>$71,332</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245E4379"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$83,920</w:t>
            </w:r>
          </w:p>
        </w:tc>
      </w:tr>
      <w:tr w:rsidR="004E63B9" w14:paraId="354BA7CD"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2D345B4E" w14:textId="77777777" w:rsidR="004E63B9" w:rsidRDefault="004E63B9" w:rsidP="0041181D">
            <w:pPr>
              <w:pStyle w:val="TableParagraph"/>
              <w:kinsoku w:val="0"/>
              <w:overflowPunct w:val="0"/>
              <w:ind w:left="50"/>
              <w:rPr>
                <w:sz w:val="22"/>
                <w:szCs w:val="22"/>
              </w:rPr>
            </w:pPr>
            <w:r>
              <w:rPr>
                <w:sz w:val="22"/>
                <w:szCs w:val="22"/>
              </w:rPr>
              <w:t>7</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4C9F9188" w14:textId="77777777" w:rsidR="004E63B9" w:rsidRDefault="004E63B9" w:rsidP="0041181D">
            <w:pPr>
              <w:pStyle w:val="TableParagraph"/>
              <w:kinsoku w:val="0"/>
              <w:overflowPunct w:val="0"/>
              <w:ind w:left="230"/>
              <w:rPr>
                <w:b/>
                <w:bCs/>
                <w:spacing w:val="-2"/>
                <w:sz w:val="22"/>
                <w:szCs w:val="22"/>
              </w:rPr>
            </w:pPr>
            <w:r>
              <w:rPr>
                <w:b/>
                <w:bCs/>
                <w:spacing w:val="-2"/>
                <w:sz w:val="22"/>
                <w:szCs w:val="22"/>
              </w:rPr>
              <w:t>$47,340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209EF237" w14:textId="77777777" w:rsidR="004E63B9" w:rsidRDefault="004E63B9" w:rsidP="0041181D">
            <w:pPr>
              <w:pStyle w:val="TableParagraph"/>
              <w:kinsoku w:val="0"/>
              <w:overflowPunct w:val="0"/>
              <w:ind w:left="165"/>
              <w:rPr>
                <w:b/>
                <w:bCs/>
                <w:spacing w:val="-2"/>
                <w:sz w:val="22"/>
                <w:szCs w:val="22"/>
              </w:rPr>
            </w:pPr>
            <w:r>
              <w:rPr>
                <w:b/>
                <w:bCs/>
                <w:spacing w:val="-2"/>
                <w:sz w:val="22"/>
                <w:szCs w:val="22"/>
              </w:rPr>
              <w:t>$63,909</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0CBED95D" w14:textId="77777777" w:rsidR="004E63B9" w:rsidRDefault="004E63B9" w:rsidP="0041181D">
            <w:pPr>
              <w:pStyle w:val="TableParagraph"/>
              <w:kinsoku w:val="0"/>
              <w:overflowPunct w:val="0"/>
              <w:rPr>
                <w:b/>
                <w:bCs/>
                <w:spacing w:val="-2"/>
                <w:sz w:val="22"/>
                <w:szCs w:val="22"/>
              </w:rPr>
            </w:pPr>
            <w:r>
              <w:rPr>
                <w:b/>
                <w:bCs/>
                <w:spacing w:val="-2"/>
                <w:sz w:val="22"/>
                <w:szCs w:val="22"/>
              </w:rPr>
              <w:t>$80,478</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10A56CCD"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$94,680</w:t>
            </w:r>
          </w:p>
        </w:tc>
      </w:tr>
      <w:tr w:rsidR="004E63B9" w14:paraId="47C15EAB" w14:textId="77777777" w:rsidTr="0041181D">
        <w:tblPrEx>
          <w:tblCellMar>
            <w:top w:w="0" w:type="dxa"/>
            <w:left w:w="0" w:type="dxa"/>
            <w:bottom w:w="0" w:type="dxa"/>
            <w:right w:w="0" w:type="dxa"/>
          </w:tblCellMar>
        </w:tblPrEx>
        <w:trPr>
          <w:trHeight w:val="268"/>
        </w:trPr>
        <w:tc>
          <w:tcPr>
            <w:tcW w:w="1344" w:type="dxa"/>
            <w:tcBorders>
              <w:top w:val="none" w:sz="6" w:space="0" w:color="auto"/>
              <w:left w:val="none" w:sz="6" w:space="0" w:color="auto"/>
              <w:bottom w:val="none" w:sz="6" w:space="0" w:color="auto"/>
              <w:right w:val="none" w:sz="6" w:space="0" w:color="auto"/>
            </w:tcBorders>
          </w:tcPr>
          <w:p w14:paraId="32712736" w14:textId="77777777" w:rsidR="004E63B9" w:rsidRDefault="004E63B9" w:rsidP="0041181D">
            <w:pPr>
              <w:pStyle w:val="TableParagraph"/>
              <w:kinsoku w:val="0"/>
              <w:overflowPunct w:val="0"/>
              <w:ind w:left="50"/>
              <w:rPr>
                <w:sz w:val="22"/>
                <w:szCs w:val="22"/>
              </w:rPr>
            </w:pPr>
            <w:r>
              <w:rPr>
                <w:sz w:val="22"/>
                <w:szCs w:val="22"/>
              </w:rPr>
              <w:t>8</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39F9FDE3" w14:textId="77777777" w:rsidR="004E63B9" w:rsidRDefault="004E63B9" w:rsidP="0041181D">
            <w:pPr>
              <w:pStyle w:val="TableParagraph"/>
              <w:kinsoku w:val="0"/>
              <w:overflowPunct w:val="0"/>
              <w:ind w:left="230"/>
              <w:rPr>
                <w:b/>
                <w:bCs/>
                <w:spacing w:val="-2"/>
                <w:sz w:val="22"/>
                <w:szCs w:val="22"/>
              </w:rPr>
            </w:pPr>
            <w:r>
              <w:rPr>
                <w:b/>
                <w:bCs/>
                <w:spacing w:val="-2"/>
                <w:sz w:val="22"/>
                <w:szCs w:val="22"/>
              </w:rPr>
              <w:t>$52,720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468DBAF1" w14:textId="77777777" w:rsidR="004E63B9" w:rsidRDefault="004E63B9" w:rsidP="0041181D">
            <w:pPr>
              <w:pStyle w:val="TableParagraph"/>
              <w:kinsoku w:val="0"/>
              <w:overflowPunct w:val="0"/>
              <w:ind w:left="165"/>
              <w:rPr>
                <w:b/>
                <w:bCs/>
                <w:spacing w:val="-2"/>
                <w:sz w:val="22"/>
                <w:szCs w:val="22"/>
              </w:rPr>
            </w:pPr>
            <w:r>
              <w:rPr>
                <w:b/>
                <w:bCs/>
                <w:spacing w:val="-2"/>
                <w:sz w:val="22"/>
                <w:szCs w:val="22"/>
              </w:rPr>
              <w:t>$71,172</w:t>
            </w:r>
          </w:p>
        </w:tc>
        <w:tc>
          <w:tcPr>
            <w:tcW w:w="2304" w:type="dxa"/>
            <w:tcBorders>
              <w:top w:val="none" w:sz="6" w:space="0" w:color="auto"/>
              <w:left w:val="none" w:sz="6" w:space="0" w:color="auto"/>
              <w:bottom w:val="none" w:sz="6" w:space="0" w:color="auto"/>
              <w:right w:val="none" w:sz="6" w:space="0" w:color="auto"/>
            </w:tcBorders>
            <w:shd w:val="clear" w:color="auto" w:fill="DEEAF6"/>
          </w:tcPr>
          <w:p w14:paraId="46498259" w14:textId="77777777" w:rsidR="004E63B9" w:rsidRDefault="004E63B9" w:rsidP="0041181D">
            <w:pPr>
              <w:pStyle w:val="TableParagraph"/>
              <w:kinsoku w:val="0"/>
              <w:overflowPunct w:val="0"/>
              <w:rPr>
                <w:b/>
                <w:bCs/>
                <w:spacing w:val="-2"/>
                <w:sz w:val="22"/>
                <w:szCs w:val="22"/>
              </w:rPr>
            </w:pPr>
            <w:r>
              <w:rPr>
                <w:b/>
                <w:bCs/>
                <w:spacing w:val="-2"/>
                <w:sz w:val="22"/>
                <w:szCs w:val="22"/>
              </w:rPr>
              <w:t>$89,624</w:t>
            </w:r>
          </w:p>
        </w:tc>
        <w:tc>
          <w:tcPr>
            <w:tcW w:w="2160" w:type="dxa"/>
            <w:tcBorders>
              <w:top w:val="none" w:sz="6" w:space="0" w:color="auto"/>
              <w:left w:val="none" w:sz="6" w:space="0" w:color="auto"/>
              <w:bottom w:val="none" w:sz="6" w:space="0" w:color="auto"/>
              <w:right w:val="none" w:sz="6" w:space="0" w:color="auto"/>
            </w:tcBorders>
            <w:shd w:val="clear" w:color="auto" w:fill="E2EFD9"/>
          </w:tcPr>
          <w:p w14:paraId="0D1A5F29" w14:textId="77777777" w:rsidR="004E63B9" w:rsidRDefault="004E63B9" w:rsidP="0041181D">
            <w:pPr>
              <w:pStyle w:val="TableParagraph"/>
              <w:kinsoku w:val="0"/>
              <w:overflowPunct w:val="0"/>
              <w:ind w:left="233" w:right="314"/>
              <w:rPr>
                <w:b/>
                <w:bCs/>
                <w:spacing w:val="-2"/>
                <w:sz w:val="22"/>
                <w:szCs w:val="22"/>
              </w:rPr>
            </w:pPr>
            <w:r>
              <w:rPr>
                <w:b/>
                <w:bCs/>
                <w:spacing w:val="-2"/>
                <w:sz w:val="22"/>
                <w:szCs w:val="22"/>
              </w:rPr>
              <w:t>$105,440</w:t>
            </w:r>
          </w:p>
        </w:tc>
      </w:tr>
      <w:tr w:rsidR="004E63B9" w14:paraId="3E348E46" w14:textId="77777777" w:rsidTr="0041181D">
        <w:tblPrEx>
          <w:tblCellMar>
            <w:top w:w="0" w:type="dxa"/>
            <w:left w:w="0" w:type="dxa"/>
            <w:bottom w:w="0" w:type="dxa"/>
            <w:right w:w="0" w:type="dxa"/>
          </w:tblCellMar>
        </w:tblPrEx>
        <w:trPr>
          <w:trHeight w:val="780"/>
        </w:trPr>
        <w:tc>
          <w:tcPr>
            <w:tcW w:w="1344" w:type="dxa"/>
            <w:tcBorders>
              <w:top w:val="none" w:sz="6" w:space="0" w:color="auto"/>
              <w:left w:val="none" w:sz="6" w:space="0" w:color="auto"/>
              <w:bottom w:val="none" w:sz="6" w:space="0" w:color="auto"/>
              <w:right w:val="none" w:sz="6" w:space="0" w:color="auto"/>
            </w:tcBorders>
          </w:tcPr>
          <w:p w14:paraId="6059977E" w14:textId="77777777" w:rsidR="004E63B9" w:rsidRPr="00B16ACE" w:rsidRDefault="004E63B9" w:rsidP="0041181D">
            <w:pPr>
              <w:pStyle w:val="TableParagraph"/>
              <w:kinsoku w:val="0"/>
              <w:overflowPunct w:val="0"/>
              <w:ind w:left="50"/>
              <w:rPr>
                <w:spacing w:val="-4"/>
                <w:sz w:val="16"/>
                <w:szCs w:val="16"/>
              </w:rPr>
            </w:pPr>
            <w:r w:rsidRPr="00B16ACE">
              <w:rPr>
                <w:sz w:val="16"/>
                <w:szCs w:val="16"/>
              </w:rPr>
              <w:t xml:space="preserve">For </w:t>
            </w:r>
            <w:r w:rsidRPr="00B16ACE">
              <w:rPr>
                <w:spacing w:val="-4"/>
                <w:sz w:val="16"/>
                <w:szCs w:val="16"/>
              </w:rPr>
              <w:t>each</w:t>
            </w:r>
          </w:p>
          <w:p w14:paraId="6815A0A7" w14:textId="77777777" w:rsidR="004E63B9" w:rsidRPr="00B16ACE" w:rsidRDefault="004E63B9" w:rsidP="0041181D">
            <w:pPr>
              <w:pStyle w:val="TableParagraph"/>
              <w:kinsoku w:val="0"/>
              <w:overflowPunct w:val="0"/>
              <w:spacing w:line="268" w:lineRule="exact"/>
              <w:ind w:left="50"/>
              <w:rPr>
                <w:spacing w:val="-2"/>
                <w:sz w:val="16"/>
                <w:szCs w:val="16"/>
              </w:rPr>
            </w:pPr>
            <w:r w:rsidRPr="00B16ACE">
              <w:rPr>
                <w:spacing w:val="-2"/>
                <w:sz w:val="16"/>
                <w:szCs w:val="16"/>
              </w:rPr>
              <w:t>additional</w:t>
            </w:r>
          </w:p>
          <w:p w14:paraId="20C10561" w14:textId="77777777" w:rsidR="004E63B9" w:rsidRDefault="004E63B9" w:rsidP="0041181D">
            <w:pPr>
              <w:pStyle w:val="TableParagraph"/>
              <w:kinsoku w:val="0"/>
              <w:overflowPunct w:val="0"/>
              <w:spacing w:line="244" w:lineRule="exact"/>
              <w:ind w:left="50"/>
              <w:rPr>
                <w:spacing w:val="-5"/>
                <w:sz w:val="22"/>
                <w:szCs w:val="22"/>
              </w:rPr>
            </w:pPr>
            <w:r w:rsidRPr="00B16ACE">
              <w:rPr>
                <w:sz w:val="16"/>
                <w:szCs w:val="16"/>
              </w:rPr>
              <w:t>person,</w:t>
            </w:r>
            <w:r w:rsidRPr="00B16ACE">
              <w:rPr>
                <w:spacing w:val="-2"/>
                <w:sz w:val="16"/>
                <w:szCs w:val="16"/>
              </w:rPr>
              <w:t xml:space="preserve"> </w:t>
            </w:r>
            <w:r w:rsidRPr="00B16ACE">
              <w:rPr>
                <w:spacing w:val="-5"/>
                <w:sz w:val="16"/>
                <w:szCs w:val="16"/>
              </w:rPr>
              <w:t>add</w:t>
            </w:r>
          </w:p>
        </w:tc>
        <w:tc>
          <w:tcPr>
            <w:tcW w:w="2160" w:type="dxa"/>
            <w:tcBorders>
              <w:top w:val="none" w:sz="6" w:space="0" w:color="auto"/>
              <w:left w:val="none" w:sz="6" w:space="0" w:color="auto"/>
              <w:bottom w:val="none" w:sz="6" w:space="0" w:color="auto"/>
              <w:right w:val="none" w:sz="6" w:space="0" w:color="auto"/>
            </w:tcBorders>
            <w:shd w:val="clear" w:color="auto" w:fill="FBE4D5"/>
          </w:tcPr>
          <w:p w14:paraId="27F8247E" w14:textId="77777777" w:rsidR="004E63B9" w:rsidRDefault="004E63B9" w:rsidP="0041181D">
            <w:pPr>
              <w:pStyle w:val="TableParagraph"/>
              <w:kinsoku w:val="0"/>
              <w:overflowPunct w:val="0"/>
              <w:ind w:left="230"/>
              <w:rPr>
                <w:b/>
                <w:bCs/>
                <w:spacing w:val="-2"/>
                <w:sz w:val="22"/>
                <w:szCs w:val="22"/>
              </w:rPr>
            </w:pPr>
          </w:p>
          <w:p w14:paraId="759CCFD6" w14:textId="77777777" w:rsidR="004E63B9" w:rsidRDefault="004E63B9" w:rsidP="0041181D">
            <w:pPr>
              <w:pStyle w:val="TableParagraph"/>
              <w:kinsoku w:val="0"/>
              <w:overflowPunct w:val="0"/>
              <w:ind w:left="230"/>
              <w:rPr>
                <w:b/>
                <w:bCs/>
                <w:spacing w:val="-2"/>
                <w:sz w:val="22"/>
                <w:szCs w:val="22"/>
              </w:rPr>
            </w:pPr>
          </w:p>
          <w:p w14:paraId="1BDE2B52" w14:textId="77777777" w:rsidR="004E63B9" w:rsidRDefault="004E63B9" w:rsidP="0041181D">
            <w:pPr>
              <w:pStyle w:val="TableParagraph"/>
              <w:kinsoku w:val="0"/>
              <w:overflowPunct w:val="0"/>
              <w:ind w:left="230"/>
              <w:rPr>
                <w:b/>
                <w:bCs/>
                <w:spacing w:val="-2"/>
                <w:sz w:val="22"/>
                <w:szCs w:val="22"/>
              </w:rPr>
            </w:pPr>
            <w:r>
              <w:rPr>
                <w:b/>
                <w:bCs/>
                <w:spacing w:val="-2"/>
                <w:sz w:val="22"/>
                <w:szCs w:val="22"/>
              </w:rPr>
              <w:t>$5380</w:t>
            </w:r>
          </w:p>
        </w:tc>
        <w:tc>
          <w:tcPr>
            <w:tcW w:w="2160" w:type="dxa"/>
            <w:tcBorders>
              <w:top w:val="none" w:sz="6" w:space="0" w:color="auto"/>
              <w:left w:val="none" w:sz="6" w:space="0" w:color="auto"/>
              <w:bottom w:val="none" w:sz="6" w:space="0" w:color="auto"/>
              <w:right w:val="none" w:sz="6" w:space="0" w:color="auto"/>
            </w:tcBorders>
            <w:shd w:val="clear" w:color="auto" w:fill="FFF2CC"/>
          </w:tcPr>
          <w:p w14:paraId="3530B5E4" w14:textId="77777777" w:rsidR="004E63B9" w:rsidRDefault="004E63B9" w:rsidP="0041181D">
            <w:pPr>
              <w:pStyle w:val="TableParagraph"/>
              <w:kinsoku w:val="0"/>
              <w:overflowPunct w:val="0"/>
              <w:spacing w:line="240" w:lineRule="auto"/>
              <w:ind w:left="0"/>
              <w:rPr>
                <w:rFonts w:ascii="Times New Roman" w:hAnsi="Times New Roman" w:cs="Times New Roman"/>
                <w:sz w:val="22"/>
                <w:szCs w:val="22"/>
              </w:rPr>
            </w:pPr>
          </w:p>
        </w:tc>
        <w:tc>
          <w:tcPr>
            <w:tcW w:w="2304" w:type="dxa"/>
            <w:tcBorders>
              <w:top w:val="none" w:sz="6" w:space="0" w:color="auto"/>
              <w:left w:val="none" w:sz="6" w:space="0" w:color="auto"/>
              <w:bottom w:val="none" w:sz="6" w:space="0" w:color="auto"/>
              <w:right w:val="none" w:sz="6" w:space="0" w:color="auto"/>
            </w:tcBorders>
            <w:shd w:val="clear" w:color="auto" w:fill="DEEAF6"/>
          </w:tcPr>
          <w:p w14:paraId="28BEC226" w14:textId="77777777" w:rsidR="004E63B9" w:rsidRDefault="004E63B9" w:rsidP="0041181D">
            <w:pPr>
              <w:pStyle w:val="TableParagraph"/>
              <w:kinsoku w:val="0"/>
              <w:overflowPunct w:val="0"/>
              <w:spacing w:line="240" w:lineRule="auto"/>
              <w:ind w:left="0"/>
              <w:rPr>
                <w:rFonts w:ascii="Times New Roman" w:hAnsi="Times New Roman" w:cs="Times New Roman"/>
                <w:sz w:val="22"/>
                <w:szCs w:val="22"/>
              </w:rPr>
            </w:pPr>
          </w:p>
        </w:tc>
        <w:tc>
          <w:tcPr>
            <w:tcW w:w="2160" w:type="dxa"/>
            <w:tcBorders>
              <w:top w:val="none" w:sz="6" w:space="0" w:color="auto"/>
              <w:left w:val="none" w:sz="6" w:space="0" w:color="auto"/>
              <w:bottom w:val="none" w:sz="6" w:space="0" w:color="auto"/>
              <w:right w:val="none" w:sz="6" w:space="0" w:color="auto"/>
            </w:tcBorders>
            <w:shd w:val="clear" w:color="auto" w:fill="E2EFD9"/>
          </w:tcPr>
          <w:p w14:paraId="392AE8DF" w14:textId="77777777" w:rsidR="004E63B9" w:rsidRDefault="004E63B9" w:rsidP="0041181D">
            <w:pPr>
              <w:pStyle w:val="TableParagraph"/>
              <w:kinsoku w:val="0"/>
              <w:overflowPunct w:val="0"/>
              <w:spacing w:line="240" w:lineRule="auto"/>
              <w:ind w:left="0"/>
              <w:rPr>
                <w:rFonts w:ascii="Times New Roman" w:hAnsi="Times New Roman" w:cs="Times New Roman"/>
                <w:sz w:val="22"/>
                <w:szCs w:val="22"/>
              </w:rPr>
            </w:pPr>
          </w:p>
        </w:tc>
      </w:tr>
    </w:tbl>
    <w:p w14:paraId="0142F66A" w14:textId="77777777" w:rsidR="004E63B9" w:rsidRDefault="004E63B9" w:rsidP="004E63B9">
      <w:pPr>
        <w:pStyle w:val="BodyText"/>
        <w:kinsoku w:val="0"/>
        <w:overflowPunct w:val="0"/>
        <w:rPr>
          <w:b/>
          <w:bCs/>
        </w:rPr>
      </w:pPr>
    </w:p>
    <w:p w14:paraId="00F3F1F7" w14:textId="77777777" w:rsidR="004E63B9" w:rsidRDefault="004E63B9" w:rsidP="004E63B9">
      <w:pPr>
        <w:pStyle w:val="BodyText"/>
        <w:kinsoku w:val="0"/>
        <w:overflowPunct w:val="0"/>
        <w:spacing w:before="6"/>
        <w:rPr>
          <w:b/>
          <w:bCs/>
          <w:sz w:val="25"/>
          <w:szCs w:val="25"/>
        </w:rPr>
      </w:pPr>
    </w:p>
    <w:p w14:paraId="29963FB7" w14:textId="77777777" w:rsidR="004E63B9" w:rsidRDefault="004E63B9" w:rsidP="004E63B9">
      <w:pPr>
        <w:pStyle w:val="BodyText"/>
        <w:kinsoku w:val="0"/>
        <w:overflowPunct w:val="0"/>
        <w:ind w:left="200" w:right="115" w:hanging="1"/>
      </w:pPr>
      <w:r>
        <w:t>It is a privilege and an honor to work with the St. Mary Parish School Board, faculty, and staff to ensure that the students</w:t>
      </w:r>
      <w:r>
        <w:rPr>
          <w:spacing w:val="-9"/>
        </w:rPr>
        <w:t xml:space="preserve"> </w:t>
      </w:r>
      <w:r>
        <w:t>and</w:t>
      </w:r>
      <w:r>
        <w:rPr>
          <w:spacing w:val="-12"/>
        </w:rPr>
        <w:t xml:space="preserve"> </w:t>
      </w:r>
      <w:r>
        <w:t>families</w:t>
      </w:r>
      <w:r>
        <w:rPr>
          <w:spacing w:val="-11"/>
        </w:rPr>
        <w:t xml:space="preserve"> </w:t>
      </w:r>
      <w:r>
        <w:t>of</w:t>
      </w:r>
      <w:r>
        <w:rPr>
          <w:spacing w:val="-12"/>
        </w:rPr>
        <w:t xml:space="preserve"> </w:t>
      </w:r>
      <w:r>
        <w:t>St. Mary</w:t>
      </w:r>
      <w:r>
        <w:rPr>
          <w:spacing w:val="-11"/>
        </w:rPr>
        <w:t xml:space="preserve"> </w:t>
      </w:r>
      <w:r>
        <w:t>Parish</w:t>
      </w:r>
      <w:r>
        <w:rPr>
          <w:spacing w:val="-12"/>
        </w:rPr>
        <w:t xml:space="preserve"> </w:t>
      </w:r>
      <w:r>
        <w:t>schools</w:t>
      </w:r>
      <w:r>
        <w:rPr>
          <w:spacing w:val="-11"/>
        </w:rPr>
        <w:t xml:space="preserve"> </w:t>
      </w:r>
      <w:r>
        <w:t>have</w:t>
      </w:r>
      <w:r>
        <w:rPr>
          <w:spacing w:val="-9"/>
        </w:rPr>
        <w:t xml:space="preserve"> </w:t>
      </w:r>
      <w:r>
        <w:t>immediate</w:t>
      </w:r>
      <w:r>
        <w:rPr>
          <w:spacing w:val="-11"/>
        </w:rPr>
        <w:t xml:space="preserve"> </w:t>
      </w:r>
      <w:r>
        <w:t>and</w:t>
      </w:r>
      <w:r>
        <w:rPr>
          <w:spacing w:val="-10"/>
        </w:rPr>
        <w:t xml:space="preserve"> </w:t>
      </w:r>
      <w:r>
        <w:t>convenient</w:t>
      </w:r>
      <w:r>
        <w:rPr>
          <w:spacing w:val="-9"/>
        </w:rPr>
        <w:t xml:space="preserve"> </w:t>
      </w:r>
      <w:r>
        <w:t>access</w:t>
      </w:r>
      <w:r>
        <w:rPr>
          <w:spacing w:val="-11"/>
        </w:rPr>
        <w:t xml:space="preserve"> </w:t>
      </w:r>
      <w:r>
        <w:t>to</w:t>
      </w:r>
      <w:r>
        <w:rPr>
          <w:spacing w:val="-10"/>
        </w:rPr>
        <w:t xml:space="preserve"> </w:t>
      </w:r>
      <w:r>
        <w:t>high</w:t>
      </w:r>
      <w:r>
        <w:rPr>
          <w:spacing w:val="-10"/>
        </w:rPr>
        <w:t xml:space="preserve"> </w:t>
      </w:r>
      <w:r>
        <w:t>quality,</w:t>
      </w:r>
      <w:r>
        <w:rPr>
          <w:spacing w:val="-11"/>
        </w:rPr>
        <w:t xml:space="preserve"> </w:t>
      </w:r>
      <w:r>
        <w:t>comprehensive healthcare services within the school system.</w:t>
      </w:r>
    </w:p>
    <w:p w14:paraId="692830EB" w14:textId="77777777" w:rsidR="004275E9" w:rsidRPr="00DE1B8E" w:rsidRDefault="004275E9" w:rsidP="004275E9"/>
    <w:sectPr w:rsidR="004275E9" w:rsidRPr="00DE1B8E" w:rsidSect="00D011AC">
      <w:headerReference w:type="default" r:id="rId11"/>
      <w:footerReference w:type="default" r:id="rId12"/>
      <w:pgSz w:w="12240" w:h="15840"/>
      <w:pgMar w:top="971" w:right="720" w:bottom="720" w:left="5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52AB0" w14:textId="77777777" w:rsidR="00844577" w:rsidRDefault="00844577" w:rsidP="008E447C">
      <w:pPr>
        <w:spacing w:after="0" w:line="240" w:lineRule="auto"/>
      </w:pPr>
      <w:r>
        <w:separator/>
      </w:r>
    </w:p>
  </w:endnote>
  <w:endnote w:type="continuationSeparator" w:id="0">
    <w:p w14:paraId="2451A6FF" w14:textId="77777777" w:rsidR="00844577" w:rsidRDefault="00844577" w:rsidP="008E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131577"/>
      <w:docPartObj>
        <w:docPartGallery w:val="Page Numbers (Bottom of Page)"/>
        <w:docPartUnique/>
      </w:docPartObj>
    </w:sdtPr>
    <w:sdtEndPr/>
    <w:sdtContent>
      <w:sdt>
        <w:sdtPr>
          <w:id w:val="-1769616900"/>
          <w:docPartObj>
            <w:docPartGallery w:val="Page Numbers (Top of Page)"/>
            <w:docPartUnique/>
          </w:docPartObj>
        </w:sdtPr>
        <w:sdtEndPr/>
        <w:sdtContent>
          <w:p w14:paraId="45E11492" w14:textId="6BC45EA9" w:rsidR="008D1593" w:rsidRDefault="008D15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7F600B" w14:textId="77777777" w:rsidR="000B4AC8" w:rsidRDefault="000B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50BDC" w14:textId="77777777" w:rsidR="00844577" w:rsidRDefault="00844577" w:rsidP="008E447C">
      <w:pPr>
        <w:spacing w:after="0" w:line="240" w:lineRule="auto"/>
      </w:pPr>
      <w:r>
        <w:separator/>
      </w:r>
    </w:p>
  </w:footnote>
  <w:footnote w:type="continuationSeparator" w:id="0">
    <w:p w14:paraId="57DDC402" w14:textId="77777777" w:rsidR="00844577" w:rsidRDefault="00844577" w:rsidP="008E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FAB92" w14:textId="1F8AC222" w:rsidR="009B4AC1" w:rsidRPr="0004292F" w:rsidRDefault="00C622D3" w:rsidP="00BD0B64">
    <w:pPr>
      <w:pStyle w:val="Header"/>
      <w:jc w:val="right"/>
      <w:rPr>
        <w:i/>
        <w:iCs/>
        <w:sz w:val="24"/>
        <w:szCs w:val="24"/>
      </w:rPr>
    </w:pPr>
    <w:r>
      <w:rPr>
        <w:i/>
        <w:iCs/>
        <w:noProof/>
        <w:sz w:val="24"/>
        <w:szCs w:val="24"/>
      </w:rPr>
      <w:drawing>
        <wp:anchor distT="0" distB="0" distL="114300" distR="114300" simplePos="0" relativeHeight="251658240" behindDoc="1" locked="0" layoutInCell="1" allowOverlap="1" wp14:anchorId="1938AFAA" wp14:editId="22A7D441">
          <wp:simplePos x="0" y="0"/>
          <wp:positionH relativeFrom="margin">
            <wp:posOffset>-90170</wp:posOffset>
          </wp:positionH>
          <wp:positionV relativeFrom="margin">
            <wp:posOffset>-667943</wp:posOffset>
          </wp:positionV>
          <wp:extent cx="922655" cy="803910"/>
          <wp:effectExtent l="0" t="0" r="0" b="0"/>
          <wp:wrapTight wrapText="bothSides">
            <wp:wrapPolygon edited="0">
              <wp:start x="0" y="0"/>
              <wp:lineTo x="0" y="20986"/>
              <wp:lineTo x="20961" y="20986"/>
              <wp:lineTo x="20961" y="0"/>
              <wp:lineTo x="0" y="0"/>
            </wp:wrapPolygon>
          </wp:wrapTight>
          <wp:docPr id="362768479" name="Picture 36276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803910"/>
                  </a:xfrm>
                  <a:prstGeom prst="rect">
                    <a:avLst/>
                  </a:prstGeom>
                  <a:noFill/>
                </pic:spPr>
              </pic:pic>
            </a:graphicData>
          </a:graphic>
          <wp14:sizeRelH relativeFrom="margin">
            <wp14:pctWidth>0</wp14:pctWidth>
          </wp14:sizeRelH>
          <wp14:sizeRelV relativeFrom="margin">
            <wp14:pctHeight>0</wp14:pctHeight>
          </wp14:sizeRelV>
        </wp:anchor>
      </w:drawing>
    </w:r>
    <w:r w:rsidR="00125561">
      <w:rPr>
        <w:i/>
        <w:iCs/>
        <w:sz w:val="24"/>
        <w:szCs w:val="24"/>
      </w:rPr>
      <w:t>School-Based Health Center</w:t>
    </w:r>
    <w:r w:rsidR="00B74313">
      <w:rPr>
        <w:i/>
        <w:iCs/>
        <w:sz w:val="24"/>
        <w:szCs w:val="24"/>
      </w:rPr>
      <w:t>s</w:t>
    </w:r>
    <w:r w:rsidR="00125561">
      <w:rPr>
        <w:i/>
        <w:iCs/>
        <w:sz w:val="24"/>
        <w:szCs w:val="24"/>
      </w:rPr>
      <w:t xml:space="preserve"> </w:t>
    </w:r>
    <w:r w:rsidR="00D64BBD">
      <w:rPr>
        <w:i/>
        <w:iCs/>
        <w:sz w:val="24"/>
        <w:szCs w:val="24"/>
      </w:rPr>
      <w:t xml:space="preserve">Department </w:t>
    </w:r>
    <w:r w:rsidR="009B4AC1" w:rsidRPr="0004292F">
      <w:rPr>
        <w:i/>
        <w:iCs/>
        <w:sz w:val="24"/>
        <w:szCs w:val="24"/>
      </w:rPr>
      <w:t>E</w:t>
    </w:r>
    <w:r w:rsidR="0004292F" w:rsidRPr="0004292F">
      <w:rPr>
        <w:i/>
        <w:iCs/>
        <w:sz w:val="24"/>
        <w:szCs w:val="24"/>
      </w:rPr>
      <w:t>xplanation of</w:t>
    </w:r>
    <w:r w:rsidR="009B4AC1" w:rsidRPr="0004292F">
      <w:rPr>
        <w:i/>
        <w:iCs/>
        <w:sz w:val="24"/>
        <w:szCs w:val="24"/>
      </w:rPr>
      <w:t xml:space="preserve"> S</w:t>
    </w:r>
    <w:r w:rsidR="0004292F" w:rsidRPr="0004292F">
      <w:rPr>
        <w:i/>
        <w:iCs/>
        <w:sz w:val="24"/>
        <w:szCs w:val="24"/>
      </w:rPr>
      <w:t>ervices</w:t>
    </w:r>
    <w:r w:rsidR="00D64BBD">
      <w:rPr>
        <w:i/>
        <w:iCs/>
        <w:sz w:val="24"/>
        <w:szCs w:val="24"/>
      </w:rPr>
      <w:t xml:space="preserve"> and Fees for Services</w:t>
    </w:r>
    <w:r w:rsidR="009B4AC1" w:rsidRPr="0004292F">
      <w:rPr>
        <w:i/>
        <w:iCs/>
        <w:sz w:val="24"/>
        <w:szCs w:val="24"/>
      </w:rPr>
      <w:t xml:space="preserve"> </w:t>
    </w:r>
  </w:p>
  <w:p w14:paraId="5552DFE8" w14:textId="7BB668DA" w:rsidR="009B4AC1" w:rsidRDefault="009B4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83CB4"/>
    <w:multiLevelType w:val="hybridMultilevel"/>
    <w:tmpl w:val="2B70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93688"/>
    <w:multiLevelType w:val="hybridMultilevel"/>
    <w:tmpl w:val="F560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4639D"/>
    <w:multiLevelType w:val="hybridMultilevel"/>
    <w:tmpl w:val="311ED8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46AD1C74"/>
    <w:multiLevelType w:val="multilevel"/>
    <w:tmpl w:val="3EAA8C3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 w15:restartNumberingAfterBreak="0">
    <w:nsid w:val="48F934DE"/>
    <w:multiLevelType w:val="hybridMultilevel"/>
    <w:tmpl w:val="F2F0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75573"/>
    <w:multiLevelType w:val="hybridMultilevel"/>
    <w:tmpl w:val="E5A2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F6EFD"/>
    <w:multiLevelType w:val="hybridMultilevel"/>
    <w:tmpl w:val="E9FC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A608C"/>
    <w:multiLevelType w:val="multilevel"/>
    <w:tmpl w:val="866EC4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76008188">
    <w:abstractNumId w:val="1"/>
  </w:num>
  <w:num w:numId="2" w16cid:durableId="719475405">
    <w:abstractNumId w:val="3"/>
  </w:num>
  <w:num w:numId="3" w16cid:durableId="2021420856">
    <w:abstractNumId w:val="7"/>
  </w:num>
  <w:num w:numId="4" w16cid:durableId="375205606">
    <w:abstractNumId w:val="6"/>
  </w:num>
  <w:num w:numId="5" w16cid:durableId="234705347">
    <w:abstractNumId w:val="4"/>
  </w:num>
  <w:num w:numId="6" w16cid:durableId="138114868">
    <w:abstractNumId w:val="5"/>
  </w:num>
  <w:num w:numId="7" w16cid:durableId="733355228">
    <w:abstractNumId w:val="2"/>
  </w:num>
  <w:num w:numId="8" w16cid:durableId="180947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4"/>
    <w:rsid w:val="00012D69"/>
    <w:rsid w:val="00014188"/>
    <w:rsid w:val="000152D0"/>
    <w:rsid w:val="00020E6D"/>
    <w:rsid w:val="00024990"/>
    <w:rsid w:val="00034C86"/>
    <w:rsid w:val="0004292F"/>
    <w:rsid w:val="00060F6E"/>
    <w:rsid w:val="00080FFA"/>
    <w:rsid w:val="000844EA"/>
    <w:rsid w:val="00086E79"/>
    <w:rsid w:val="000B4AC8"/>
    <w:rsid w:val="000D7706"/>
    <w:rsid w:val="000E3277"/>
    <w:rsid w:val="000E4E39"/>
    <w:rsid w:val="001064F5"/>
    <w:rsid w:val="001065AC"/>
    <w:rsid w:val="00125561"/>
    <w:rsid w:val="00146522"/>
    <w:rsid w:val="00150251"/>
    <w:rsid w:val="00182913"/>
    <w:rsid w:val="001878F1"/>
    <w:rsid w:val="001904F7"/>
    <w:rsid w:val="00192BB7"/>
    <w:rsid w:val="00194007"/>
    <w:rsid w:val="00196BE9"/>
    <w:rsid w:val="001A5BBB"/>
    <w:rsid w:val="001A7856"/>
    <w:rsid w:val="001D4A1E"/>
    <w:rsid w:val="0020370B"/>
    <w:rsid w:val="00204E3A"/>
    <w:rsid w:val="00225EE1"/>
    <w:rsid w:val="002264A1"/>
    <w:rsid w:val="00234342"/>
    <w:rsid w:val="00243F6A"/>
    <w:rsid w:val="00245EAF"/>
    <w:rsid w:val="002551BD"/>
    <w:rsid w:val="00276441"/>
    <w:rsid w:val="002A0530"/>
    <w:rsid w:val="002A656B"/>
    <w:rsid w:val="002B5E27"/>
    <w:rsid w:val="002D6C67"/>
    <w:rsid w:val="002E1B6B"/>
    <w:rsid w:val="002E5D76"/>
    <w:rsid w:val="002F6F2B"/>
    <w:rsid w:val="0031716D"/>
    <w:rsid w:val="0033022A"/>
    <w:rsid w:val="00345597"/>
    <w:rsid w:val="00346B20"/>
    <w:rsid w:val="00360D18"/>
    <w:rsid w:val="003860F9"/>
    <w:rsid w:val="003A4A60"/>
    <w:rsid w:val="003E00CA"/>
    <w:rsid w:val="003F2799"/>
    <w:rsid w:val="0041629B"/>
    <w:rsid w:val="004267D8"/>
    <w:rsid w:val="004275E9"/>
    <w:rsid w:val="00427DBB"/>
    <w:rsid w:val="00436E4D"/>
    <w:rsid w:val="00445921"/>
    <w:rsid w:val="00452691"/>
    <w:rsid w:val="00454494"/>
    <w:rsid w:val="004749F7"/>
    <w:rsid w:val="004772C7"/>
    <w:rsid w:val="00480F9D"/>
    <w:rsid w:val="004B41D7"/>
    <w:rsid w:val="004B49DA"/>
    <w:rsid w:val="004E63B9"/>
    <w:rsid w:val="004F7CBA"/>
    <w:rsid w:val="00510E75"/>
    <w:rsid w:val="00532849"/>
    <w:rsid w:val="00580526"/>
    <w:rsid w:val="005861FD"/>
    <w:rsid w:val="0059459D"/>
    <w:rsid w:val="005A1A4C"/>
    <w:rsid w:val="005A4EC7"/>
    <w:rsid w:val="005B57FF"/>
    <w:rsid w:val="005D2004"/>
    <w:rsid w:val="005E5479"/>
    <w:rsid w:val="00601580"/>
    <w:rsid w:val="00627855"/>
    <w:rsid w:val="0063161B"/>
    <w:rsid w:val="00665357"/>
    <w:rsid w:val="00665D41"/>
    <w:rsid w:val="00667046"/>
    <w:rsid w:val="00686BD0"/>
    <w:rsid w:val="006B2C6D"/>
    <w:rsid w:val="006B7DD8"/>
    <w:rsid w:val="006F0152"/>
    <w:rsid w:val="006F0980"/>
    <w:rsid w:val="007178B9"/>
    <w:rsid w:val="00720568"/>
    <w:rsid w:val="0072459D"/>
    <w:rsid w:val="00726023"/>
    <w:rsid w:val="00732909"/>
    <w:rsid w:val="00733FAA"/>
    <w:rsid w:val="00747597"/>
    <w:rsid w:val="00754C20"/>
    <w:rsid w:val="00761B49"/>
    <w:rsid w:val="00770053"/>
    <w:rsid w:val="00777748"/>
    <w:rsid w:val="00782448"/>
    <w:rsid w:val="007D2ACA"/>
    <w:rsid w:val="007E5EF8"/>
    <w:rsid w:val="007F17AC"/>
    <w:rsid w:val="007F636F"/>
    <w:rsid w:val="00842319"/>
    <w:rsid w:val="00844577"/>
    <w:rsid w:val="008506CB"/>
    <w:rsid w:val="008661D2"/>
    <w:rsid w:val="00894881"/>
    <w:rsid w:val="008A29C5"/>
    <w:rsid w:val="008C5502"/>
    <w:rsid w:val="008D1593"/>
    <w:rsid w:val="008D7B7B"/>
    <w:rsid w:val="008E447C"/>
    <w:rsid w:val="008F1A91"/>
    <w:rsid w:val="00922D1D"/>
    <w:rsid w:val="00935F5D"/>
    <w:rsid w:val="009404E4"/>
    <w:rsid w:val="00943A12"/>
    <w:rsid w:val="0095502C"/>
    <w:rsid w:val="00973980"/>
    <w:rsid w:val="00973C2F"/>
    <w:rsid w:val="009A0034"/>
    <w:rsid w:val="009A0FE9"/>
    <w:rsid w:val="009B4AC1"/>
    <w:rsid w:val="009C35CA"/>
    <w:rsid w:val="009D4CAB"/>
    <w:rsid w:val="009E030B"/>
    <w:rsid w:val="009E5767"/>
    <w:rsid w:val="00A02504"/>
    <w:rsid w:val="00A22A5A"/>
    <w:rsid w:val="00A23203"/>
    <w:rsid w:val="00A30470"/>
    <w:rsid w:val="00A41840"/>
    <w:rsid w:val="00A70E9C"/>
    <w:rsid w:val="00A70ECE"/>
    <w:rsid w:val="00A86B2F"/>
    <w:rsid w:val="00AB2C0D"/>
    <w:rsid w:val="00AC6B7A"/>
    <w:rsid w:val="00AD0165"/>
    <w:rsid w:val="00AD44BF"/>
    <w:rsid w:val="00AE39B2"/>
    <w:rsid w:val="00AE42D7"/>
    <w:rsid w:val="00AE7584"/>
    <w:rsid w:val="00AF32F6"/>
    <w:rsid w:val="00B0513D"/>
    <w:rsid w:val="00B35B8F"/>
    <w:rsid w:val="00B41F2C"/>
    <w:rsid w:val="00B422D6"/>
    <w:rsid w:val="00B425A6"/>
    <w:rsid w:val="00B4362A"/>
    <w:rsid w:val="00B546D1"/>
    <w:rsid w:val="00B60B8F"/>
    <w:rsid w:val="00B62EBD"/>
    <w:rsid w:val="00B66386"/>
    <w:rsid w:val="00B74313"/>
    <w:rsid w:val="00B81069"/>
    <w:rsid w:val="00B92683"/>
    <w:rsid w:val="00BB0600"/>
    <w:rsid w:val="00BC25F2"/>
    <w:rsid w:val="00BC57C8"/>
    <w:rsid w:val="00BD0B64"/>
    <w:rsid w:val="00BD2C14"/>
    <w:rsid w:val="00BD381F"/>
    <w:rsid w:val="00BE3AD8"/>
    <w:rsid w:val="00BE4B84"/>
    <w:rsid w:val="00C0767E"/>
    <w:rsid w:val="00C202DB"/>
    <w:rsid w:val="00C44BFC"/>
    <w:rsid w:val="00C461E7"/>
    <w:rsid w:val="00C54247"/>
    <w:rsid w:val="00C54C1D"/>
    <w:rsid w:val="00C55228"/>
    <w:rsid w:val="00C622D3"/>
    <w:rsid w:val="00C643E7"/>
    <w:rsid w:val="00C7685F"/>
    <w:rsid w:val="00C80ECE"/>
    <w:rsid w:val="00C873C8"/>
    <w:rsid w:val="00CA249F"/>
    <w:rsid w:val="00CA4830"/>
    <w:rsid w:val="00CB5EC6"/>
    <w:rsid w:val="00CB7ABC"/>
    <w:rsid w:val="00CC27C8"/>
    <w:rsid w:val="00CD1D25"/>
    <w:rsid w:val="00CD7484"/>
    <w:rsid w:val="00CF665C"/>
    <w:rsid w:val="00D011AC"/>
    <w:rsid w:val="00D0154E"/>
    <w:rsid w:val="00D1551C"/>
    <w:rsid w:val="00D228ED"/>
    <w:rsid w:val="00D46A79"/>
    <w:rsid w:val="00D6210F"/>
    <w:rsid w:val="00D64BBD"/>
    <w:rsid w:val="00D9770D"/>
    <w:rsid w:val="00DA3990"/>
    <w:rsid w:val="00DC090A"/>
    <w:rsid w:val="00DC2C1D"/>
    <w:rsid w:val="00DD0C29"/>
    <w:rsid w:val="00DE1B8E"/>
    <w:rsid w:val="00DE540E"/>
    <w:rsid w:val="00E0308B"/>
    <w:rsid w:val="00E1011E"/>
    <w:rsid w:val="00E11ABB"/>
    <w:rsid w:val="00E13409"/>
    <w:rsid w:val="00E13E36"/>
    <w:rsid w:val="00E2375F"/>
    <w:rsid w:val="00E3423D"/>
    <w:rsid w:val="00E364AF"/>
    <w:rsid w:val="00E41FBD"/>
    <w:rsid w:val="00E510C7"/>
    <w:rsid w:val="00E80EE8"/>
    <w:rsid w:val="00E86D88"/>
    <w:rsid w:val="00E878AB"/>
    <w:rsid w:val="00EA1C7E"/>
    <w:rsid w:val="00EC0462"/>
    <w:rsid w:val="00EC3525"/>
    <w:rsid w:val="00F02878"/>
    <w:rsid w:val="00F11A05"/>
    <w:rsid w:val="00F339B8"/>
    <w:rsid w:val="00F66638"/>
    <w:rsid w:val="00F701B6"/>
    <w:rsid w:val="00F864F3"/>
    <w:rsid w:val="00F9127B"/>
    <w:rsid w:val="00FA20C2"/>
    <w:rsid w:val="00FB0209"/>
    <w:rsid w:val="00FB6CCB"/>
    <w:rsid w:val="00FC0F7A"/>
    <w:rsid w:val="00FC1ED6"/>
    <w:rsid w:val="00FE0FBD"/>
    <w:rsid w:val="00FE158B"/>
    <w:rsid w:val="00FE5541"/>
    <w:rsid w:val="00FE57E9"/>
    <w:rsid w:val="00FE5EE5"/>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8E98"/>
  <w15:chartTrackingRefBased/>
  <w15:docId w15:val="{8F08569F-5923-4317-9EF1-83B1AC3C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53"/>
  </w:style>
  <w:style w:type="paragraph" w:styleId="Heading1">
    <w:name w:val="heading 1"/>
    <w:basedOn w:val="Normal"/>
    <w:next w:val="Normal"/>
    <w:link w:val="Heading1Char"/>
    <w:uiPriority w:val="1"/>
    <w:qFormat/>
    <w:rsid w:val="004E63B9"/>
    <w:pPr>
      <w:widowControl w:val="0"/>
      <w:autoSpaceDE w:val="0"/>
      <w:autoSpaceDN w:val="0"/>
      <w:adjustRightInd w:val="0"/>
      <w:spacing w:before="56" w:after="0" w:line="240" w:lineRule="auto"/>
      <w:ind w:left="1611" w:right="1532"/>
      <w:jc w:val="center"/>
      <w:outlineLvl w:val="0"/>
    </w:pPr>
    <w:rPr>
      <w:rFonts w:ascii="Calibri" w:eastAsiaTheme="minorEastAsia" w:hAnsi="Calibri" w:cs="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84"/>
    <w:pPr>
      <w:spacing w:after="0" w:line="240" w:lineRule="auto"/>
    </w:pPr>
  </w:style>
  <w:style w:type="character" w:styleId="Hyperlink">
    <w:name w:val="Hyperlink"/>
    <w:basedOn w:val="DefaultParagraphFont"/>
    <w:uiPriority w:val="99"/>
    <w:unhideWhenUsed/>
    <w:rsid w:val="00AE7584"/>
    <w:rPr>
      <w:color w:val="0563C1" w:themeColor="hyperlink"/>
      <w:u w:val="single"/>
    </w:rPr>
  </w:style>
  <w:style w:type="paragraph" w:styleId="Header">
    <w:name w:val="header"/>
    <w:basedOn w:val="Normal"/>
    <w:link w:val="HeaderChar"/>
    <w:uiPriority w:val="99"/>
    <w:unhideWhenUsed/>
    <w:rsid w:val="008E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47C"/>
  </w:style>
  <w:style w:type="paragraph" w:styleId="Footer">
    <w:name w:val="footer"/>
    <w:basedOn w:val="Normal"/>
    <w:link w:val="FooterChar"/>
    <w:uiPriority w:val="99"/>
    <w:unhideWhenUsed/>
    <w:rsid w:val="008E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47C"/>
  </w:style>
  <w:style w:type="character" w:styleId="UnresolvedMention">
    <w:name w:val="Unresolved Mention"/>
    <w:basedOn w:val="DefaultParagraphFont"/>
    <w:uiPriority w:val="99"/>
    <w:semiHidden/>
    <w:unhideWhenUsed/>
    <w:rsid w:val="00C80ECE"/>
    <w:rPr>
      <w:color w:val="605E5C"/>
      <w:shd w:val="clear" w:color="auto" w:fill="E1DFDD"/>
    </w:rPr>
  </w:style>
  <w:style w:type="paragraph" w:styleId="ListParagraph">
    <w:name w:val="List Paragraph"/>
    <w:basedOn w:val="Normal"/>
    <w:uiPriority w:val="34"/>
    <w:qFormat/>
    <w:rsid w:val="00D9770D"/>
    <w:pPr>
      <w:ind w:left="720"/>
      <w:contextualSpacing/>
    </w:pPr>
  </w:style>
  <w:style w:type="paragraph" w:styleId="BodyText">
    <w:name w:val="Body Text"/>
    <w:basedOn w:val="Normal"/>
    <w:link w:val="BodyTextChar"/>
    <w:uiPriority w:val="99"/>
    <w:unhideWhenUsed/>
    <w:rsid w:val="00BD2C14"/>
    <w:pPr>
      <w:spacing w:after="120"/>
    </w:pPr>
  </w:style>
  <w:style w:type="character" w:customStyle="1" w:styleId="BodyTextChar">
    <w:name w:val="Body Text Char"/>
    <w:basedOn w:val="DefaultParagraphFont"/>
    <w:link w:val="BodyText"/>
    <w:uiPriority w:val="99"/>
    <w:rsid w:val="00BD2C14"/>
  </w:style>
  <w:style w:type="character" w:customStyle="1" w:styleId="Heading1Char">
    <w:name w:val="Heading 1 Char"/>
    <w:basedOn w:val="DefaultParagraphFont"/>
    <w:link w:val="Heading1"/>
    <w:uiPriority w:val="1"/>
    <w:rsid w:val="004E63B9"/>
    <w:rPr>
      <w:rFonts w:ascii="Calibri" w:eastAsiaTheme="minorEastAsia" w:hAnsi="Calibri" w:cs="Calibri"/>
      <w:b/>
      <w:bCs/>
      <w:u w:val="single"/>
    </w:rPr>
  </w:style>
  <w:style w:type="paragraph" w:customStyle="1" w:styleId="TableParagraph">
    <w:name w:val="Table Paragraph"/>
    <w:basedOn w:val="Normal"/>
    <w:uiPriority w:val="1"/>
    <w:qFormat/>
    <w:rsid w:val="004E63B9"/>
    <w:pPr>
      <w:widowControl w:val="0"/>
      <w:autoSpaceDE w:val="0"/>
      <w:autoSpaceDN w:val="0"/>
      <w:adjustRightInd w:val="0"/>
      <w:spacing w:after="0" w:line="249" w:lineRule="exact"/>
      <w:ind w:left="245"/>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6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wnloads.aap.org/AAP/PDF/periodicity_schedule.pdf" TargetMode="External"/><Relationship Id="rId4" Type="http://schemas.openxmlformats.org/officeDocument/2006/relationships/settings" Target="settings.xml"/><Relationship Id="rId9" Type="http://schemas.openxmlformats.org/officeDocument/2006/relationships/hyperlink" Target="https://www.aap.org/periodicity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E8E6-A58B-4F93-8B18-1C6B6528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Vappie</dc:creator>
  <cp:keywords/>
  <dc:description/>
  <cp:lastModifiedBy>Karla Vappie</cp:lastModifiedBy>
  <cp:revision>119</cp:revision>
  <cp:lastPrinted>2020-07-30T15:00:00Z</cp:lastPrinted>
  <dcterms:created xsi:type="dcterms:W3CDTF">2022-07-19T20:53:00Z</dcterms:created>
  <dcterms:modified xsi:type="dcterms:W3CDTF">2024-06-03T21:04:00Z</dcterms:modified>
</cp:coreProperties>
</file>