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9B73236" wp14:paraId="31920CE5" wp14:textId="2DED07B0">
      <w:pPr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</w:pPr>
      <w:r w:rsidR="441F67C4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50CB5601" wp14:anchorId="3A3A3F0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372380940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6286aae8ef47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B73236" w:rsidR="441F6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Manha</w:t>
      </w:r>
      <w:r w:rsidRPr="29B73236" w:rsidR="441F6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sset </w:t>
      </w:r>
      <w:r w:rsidRPr="29B73236" w:rsidR="441F6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Public</w:t>
      </w:r>
      <w:r w:rsidRPr="29B73236" w:rsidR="441F6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 Schools</w:t>
      </w:r>
    </w:p>
    <w:p xmlns:wp14="http://schemas.microsoft.com/office/word/2010/wordml" w:rsidP="29B73236" wp14:paraId="0DCDE7FC" wp14:textId="481BA050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41F67C4">
        <w:drawing>
          <wp:inline xmlns:wp14="http://schemas.microsoft.com/office/word/2010/wordprocessingDrawing" wp14:editId="7FA685AD" wp14:anchorId="2F2B62D5">
            <wp:extent cx="9525" cy="9525"/>
            <wp:effectExtent l="0" t="0" r="0" b="0"/>
            <wp:docPr id="34996022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32a724372e43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9B73236" wp14:paraId="79F7EA72" wp14:textId="351CFF10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9B73236" w:rsidR="441F67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WORLD LANGUAGE DEPARTMENT</w:t>
      </w:r>
    </w:p>
    <w:p xmlns:wp14="http://schemas.microsoft.com/office/word/2010/wordml" w:rsidP="29B73236" wp14:paraId="12D74179" wp14:textId="4DF1B9E8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9B73236" w:rsidR="441F67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29B73236" wp14:paraId="3BE419FC" wp14:textId="1F91734E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29B73236" wp14:paraId="16E9B67A" wp14:textId="4E186108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29B73236" w:rsidR="441F67C4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29B73236" w:rsidR="441F67C4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29B73236" w:rsidR="441F67C4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29B73236" w:rsidR="441F67C4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29B73236" w:rsidR="441F67C4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29B73236" wp14:paraId="0E89290F" wp14:textId="2FBE9F94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0C13D9C9" wp14:textId="7EDCBC7C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29B73236" w:rsidR="4EABEEC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5/AP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equire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complete Rosetta Stone 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 PART OF THEIR REQUIRED COURSE WORK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These Rosetta Stone lessons/units are estimated to require about five hours of work per quarter outside the classroom/lab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9B73236" wp14:paraId="7C9EBB78" wp14:textId="3610968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9B73236" wp14:paraId="46AC802A" wp14:textId="3FE2883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29B73236" wp14:paraId="7249156C" wp14:textId="4126D59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29B73236" wp14:paraId="192DDD28" wp14:textId="26E1552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9B73236" wp14:paraId="04151F94" wp14:textId="295866C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xmlns:wp14="http://schemas.microsoft.com/office/word/2010/wordml" w:rsidP="29B73236" wp14:paraId="70A02F73" wp14:textId="642F0B7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33507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week before the quarter ends, each student must </w:t>
      </w:r>
      <w:r w:rsidRPr="14F33507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14F33507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teacher. This pdf (Adobe) format can be found on the “reports” link on the homepage. The units and due dates for submission are:</w:t>
      </w:r>
    </w:p>
    <w:p w:rsidR="14F33507" w:rsidP="14F33507" w:rsidRDefault="14F33507" w14:paraId="00BD245A" w14:textId="2E5D856F">
      <w:pPr>
        <w:pStyle w:val="Normal"/>
        <w:spacing w:after="200" w:line="276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65"/>
      </w:tblGrid>
      <w:tr w:rsidR="29B73236" w:rsidTr="14F33507" w14:paraId="37F9A356">
        <w:trPr>
          <w:trHeight w:val="300"/>
        </w:trPr>
        <w:tc>
          <w:tcPr>
            <w:tcW w:w="46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086F5E33" w14:textId="4448C38A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1: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1</w:t>
            </w:r>
            <w:r w:rsidRPr="29B73236" w:rsidR="28FD0A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7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>
              <w:tab/>
            </w:r>
          </w:p>
        </w:tc>
        <w:tc>
          <w:tcPr>
            <w:tcW w:w="43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6DD0B4EA" w14:textId="079F85AA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Thursday,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October 26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2023</w:t>
            </w:r>
          </w:p>
        </w:tc>
      </w:tr>
      <w:tr w:rsidR="29B73236" w:rsidTr="14F33507" w14:paraId="62F5A765">
        <w:trPr>
          <w:trHeight w:val="36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14F33507" w:rsidRDefault="29B73236" w14:paraId="783DE621" w14:textId="5E3CCD1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Quarter 2: 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1</w:t>
            </w:r>
            <w:r w:rsidRPr="14F33507" w:rsidR="1372CA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8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7F3030A4" w14:textId="790DA415">
            <w:pPr>
              <w:pStyle w:val="NoSpacing"/>
              <w:spacing w:after="0" w:line="240" w:lineRule="auto"/>
              <w:ind w:left="72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January 12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2024</w:t>
            </w:r>
          </w:p>
        </w:tc>
      </w:tr>
      <w:tr w:rsidR="29B73236" w:rsidTr="14F33507" w14:paraId="1B291A9D">
        <w:trPr>
          <w:trHeight w:val="30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14F33507" w:rsidRDefault="29B73236" w14:paraId="62D3BE7B" w14:textId="600E885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3: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Unit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1</w:t>
            </w:r>
            <w:r w:rsidRPr="14F33507" w:rsidR="17BFDF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9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33B5968A" w14:textId="1ABBD1E8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March 22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nd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  <w:tr w:rsidR="29B73236" w:rsidTr="14F33507" w14:paraId="59F52F40">
        <w:trPr>
          <w:trHeight w:val="300"/>
        </w:trPr>
        <w:tc>
          <w:tcPr>
            <w:tcW w:w="46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14F33507" w:rsidRDefault="29B73236" w14:paraId="24EDCE25" w14:textId="73214B9B">
            <w:pPr>
              <w:spacing w:line="259" w:lineRule="auto"/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4: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14F33507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14F33507" w:rsidR="6D5BCD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20</w:t>
            </w:r>
          </w:p>
        </w:tc>
        <w:tc>
          <w:tcPr>
            <w:tcW w:w="436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39C512B9" w14:textId="51B24E30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Tuesday, 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June 4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29B73236" w:rsidR="29B732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</w:tbl>
    <w:p xmlns:wp14="http://schemas.microsoft.com/office/word/2010/wordml" w:rsidP="29B73236" wp14:paraId="0FBC4D59" wp14:textId="2C0CA718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089A5249" wp14:textId="3C6C22ED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29B73236" wp14:paraId="3C851370" wp14:textId="74FE148E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737518D7" wp14:textId="614B43A3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completed work will be awarded a quiz grade that will be included in the calculation of each student’s final quarter grade based on the following charts:</w:t>
      </w:r>
    </w:p>
    <w:p xmlns:wp14="http://schemas.microsoft.com/office/word/2010/wordml" w:rsidP="29B73236" wp14:paraId="67633AE8" wp14:textId="28523364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48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</w:tblGrid>
      <w:tr w:rsidR="29B73236" w:rsidTr="29B73236" w14:paraId="0EF090E3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20DF5C2E" w14:textId="46CB6FB0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73236" w:rsidR="29B7323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Minimum</w:t>
            </w:r>
            <w:r w:rsidRPr="29B73236" w:rsidR="29B7323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score earned to earn credit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5AF97281" w14:textId="648650E5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73236" w:rsidR="29B7323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Rosetta Stone Quiz grade</w:t>
            </w:r>
          </w:p>
        </w:tc>
      </w:tr>
      <w:tr w:rsidR="29B73236" w:rsidTr="29B73236" w14:paraId="039F074B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592218DA" w14:textId="0A64BD8B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73236" w:rsidR="29B7323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90% or above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B73236" w:rsidP="29B73236" w:rsidRDefault="29B73236" w14:paraId="732F363A" w14:textId="0E50DB73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73236" w:rsidR="29B7323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Full credit</w:t>
            </w:r>
          </w:p>
        </w:tc>
      </w:tr>
    </w:tbl>
    <w:p xmlns:wp14="http://schemas.microsoft.com/office/word/2010/wordml" w:rsidP="29B73236" wp14:paraId="6DDB5085" wp14:textId="14A5D119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37332028" wp14:textId="7A245DC3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student’s Rosetta Stone quiz grade for each quarter will reflect the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lessons completed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29B73236" wp14:paraId="15C5D99E" wp14:textId="705365EF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73BF7883" wp14:textId="7849DE0C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6CDBFCD1" wp14:textId="1B70C4D4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29B73236" wp14:paraId="17AD484B" wp14:textId="7F2C934D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2AED364D" wp14:textId="156FF556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279AFEEF" wp14:textId="04562273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29B73236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428C5D42" wp14:paraId="343CB69E" wp14:textId="0C1167A4">
      <w:pPr>
        <w:spacing w:after="200" w:line="276" w:lineRule="auto"/>
        <w:contextualSpacing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8C5D42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428C5D42" w:rsidR="441F67C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428C5D42" w:rsidR="03DDDA8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5/AP</w:t>
      </w:r>
    </w:p>
    <w:p xmlns:wp14="http://schemas.microsoft.com/office/word/2010/wordml" w:rsidP="29B73236" wp14:paraId="78118931" wp14:textId="793F391F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1C635FC8" wp14:textId="67E4BC6D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29B73236" wp14:paraId="656C0126" wp14:textId="1DBAA0E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9B73236" wp14:paraId="25AB9AFC" wp14:textId="56F7B3C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9B73236" wp14:paraId="303BA35C" wp14:textId="2735DDF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29B73236" wp14:paraId="1AD40A9F" wp14:textId="421CE56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29B73236" wp14:paraId="6EAA5CBE" wp14:textId="416332C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28C5D42" wp14:paraId="56E34F0D" wp14:textId="3615B08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8C5D42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agree to follow these guidelines for use of the Rosetta Stone program throughout the 202</w:t>
      </w:r>
      <w:r w:rsidRPr="428C5D42" w:rsidR="426531B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28C5D42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-202</w:t>
      </w:r>
      <w:r w:rsidRPr="428C5D42" w:rsidR="618191D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428C5D42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school year as PART OF THE REQUIRED COURSEWORK. </w:t>
      </w:r>
    </w:p>
    <w:p xmlns:wp14="http://schemas.microsoft.com/office/word/2010/wordml" w:rsidP="29B73236" wp14:paraId="4F42A8C9" wp14:textId="18D77033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B73236" wp14:paraId="218C7D52" wp14:textId="09578234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29B73236" wp14:paraId="7ACC059B" wp14:textId="6F8053B4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 </w:t>
      </w:r>
      <w:r>
        <w:tab/>
      </w:r>
      <w:r>
        <w:tab/>
      </w:r>
      <w:r>
        <w:tab/>
      </w:r>
      <w:r>
        <w:tab/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29B73236" wp14:paraId="1AA0ACBB" wp14:textId="68E6B1D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9B73236" wp14:paraId="6D3C1A48" wp14:textId="5392064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29B73236" w:rsidR="441F67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29B73236" wp14:paraId="12513DCB" wp14:textId="5C020C5E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signature)</w:t>
      </w:r>
      <w:r>
        <w:tab/>
      </w:r>
      <w:r>
        <w:tab/>
      </w:r>
      <w:r>
        <w:tab/>
      </w:r>
      <w:r>
        <w:tab/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(</w:t>
      </w:r>
      <w:r w:rsidRPr="29B73236" w:rsidR="441F67C4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29B73236" wp14:paraId="44EE7D69" wp14:textId="3D3AC22F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9B73236" wp14:paraId="2C078E63" wp14:textId="4905AB2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2078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cd2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091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2645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a43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239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104F9"/>
    <w:rsid w:val="03DDDA8A"/>
    <w:rsid w:val="1372CACE"/>
    <w:rsid w:val="14F33507"/>
    <w:rsid w:val="17BFDF3A"/>
    <w:rsid w:val="28FD0AB7"/>
    <w:rsid w:val="29B73236"/>
    <w:rsid w:val="312104F9"/>
    <w:rsid w:val="35AEFA1F"/>
    <w:rsid w:val="426531BE"/>
    <w:rsid w:val="428C5D42"/>
    <w:rsid w:val="441F67C4"/>
    <w:rsid w:val="4EABEEC3"/>
    <w:rsid w:val="618191D2"/>
    <w:rsid w:val="6D5BCDEC"/>
    <w:rsid w:val="7FEAE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57B1"/>
  <w15:chartTrackingRefBased/>
  <w15:docId w15:val="{20587E85-E065-4490-9F9F-A951FEBC20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86286aae8ef47d9" /><Relationship Type="http://schemas.openxmlformats.org/officeDocument/2006/relationships/image" Target="/media/image.png" Id="R0632a724372e430c" /><Relationship Type="http://schemas.openxmlformats.org/officeDocument/2006/relationships/numbering" Target="numbering.xml" Id="R70596647cd6445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2023-08-10T14:47:27.1680381Z</dcterms:created>
  <dcterms:modified xsi:type="dcterms:W3CDTF">2023-08-11T14:57:47.6883523Z</dcterms:modified>
  <dc:creator>Christina Lang</dc:creator>
  <lastModifiedBy>Christina Lang</lastModifiedBy>
</coreProperties>
</file>