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venir" w:eastAsia="Avenir" w:hAnsi="Avenir" w:cs="Avenir"/>
          <w:color w:val="000000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venir" w:eastAsia="Avenir" w:hAnsi="Avenir" w:cs="Avenir"/>
          <w:color w:val="000000"/>
          <w:sz w:val="28"/>
          <w:szCs w:val="28"/>
        </w:rPr>
        <w:t>School Health Advisory Council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685800</wp:posOffset>
            </wp:positionH>
            <wp:positionV relativeFrom="paragraph">
              <wp:posOffset>-114299</wp:posOffset>
            </wp:positionV>
            <wp:extent cx="1257300" cy="70787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078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venir" w:eastAsia="Avenir" w:hAnsi="Avenir" w:cs="Avenir"/>
          <w:color w:val="000000"/>
          <w:sz w:val="36"/>
          <w:szCs w:val="36"/>
        </w:rPr>
      </w:pPr>
      <w:r>
        <w:rPr>
          <w:rFonts w:ascii="Avenir" w:eastAsia="Avenir" w:hAnsi="Avenir" w:cs="Avenir"/>
          <w:color w:val="000000"/>
          <w:sz w:val="36"/>
          <w:szCs w:val="36"/>
        </w:rPr>
        <w:t>AGENDA</w:t>
      </w:r>
    </w:p>
    <w:p w:rsidR="000A6495" w:rsidRDefault="000A64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venir" w:eastAsia="Avenir" w:hAnsi="Avenir" w:cs="Avenir"/>
          <w:color w:val="000000"/>
          <w:sz w:val="16"/>
          <w:szCs w:val="16"/>
        </w:rPr>
      </w:pP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Waco ISD Administration Conference Center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>January 22, 2020 12:00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Meeting called by: Rhiannon Settles and Suzanne </w:t>
      </w:r>
      <w:r>
        <w:rPr>
          <w:rFonts w:ascii="Times New Roman" w:eastAsia="Times New Roman" w:hAnsi="Times New Roman" w:cs="Times New Roman"/>
        </w:rPr>
        <w:t>Hamilton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24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Vision Statement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: 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Waco ISD promotes: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</w:rPr>
        <w:t>ellness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</w:rPr>
        <w:t>chool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</w:rPr>
        <w:t>aily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2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Mission Statement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mission statement of the Waco ISD School Health Advisory Council is to ensure students will have the health education and tool in which 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be physically, emotionally, and academically fit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Goal:</w:t>
      </w:r>
    </w:p>
    <w:p w:rsidR="000A6495" w:rsidRDefault="00D27F92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goal of the Waco ISD SHAC is to assess, evaluate, and advocate for a comprehensive school health program and policies to promote lifelong health and physical fitness of our students, employees, and the community. </w:t>
      </w:r>
    </w:p>
    <w:p w:rsidR="000A6495" w:rsidRDefault="000A6495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</w:rPr>
      </w:pP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Time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  <w:t>Item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ab/>
        <w:t>Lea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d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12:00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Welcome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Introductions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Previous Minutes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Rhiannon Settles</w:t>
      </w:r>
    </w:p>
    <w:p w:rsidR="000A6495" w:rsidRDefault="000A6495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12: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Department Updates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0A6495" w:rsidRDefault="000A6495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Health Services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Rhiannon Settles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Vision Initi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ative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Rhiannon Settles</w:t>
      </w:r>
    </w:p>
    <w:p w:rsidR="000A6495" w:rsidRDefault="000A6495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left="720" w:right="1824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Nutrition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Linda King/Julia Pennington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Physical Education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Pam Fischer/Melissa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Avants</w:t>
      </w:r>
      <w:proofErr w:type="spellEnd"/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Health Education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Hayden Evans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Counseling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Suzanne Hamilton</w:t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School Safety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David Williams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12: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Subcommittee discussions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SHAC</w:t>
      </w:r>
    </w:p>
    <w:p w:rsidR="000A6495" w:rsidRDefault="000A6495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6495" w:rsidRDefault="00D27F92">
      <w:pPr>
        <w:pBdr>
          <w:top w:val="nil"/>
          <w:left w:val="nil"/>
          <w:bottom w:val="nil"/>
          <w:right w:val="nil"/>
          <w:between w:val="nil"/>
        </w:pBdr>
        <w:ind w:right="1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1:00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Adjournment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Rhiannon Settles</w:t>
      </w:r>
    </w:p>
    <w:sectPr w:rsidR="000A649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95"/>
    <w:rsid w:val="000A6495"/>
    <w:rsid w:val="00D2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88D0B-435B-43B0-8161-A09FD501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 ISD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N. Settles</dc:creator>
  <cp:lastModifiedBy>Waco ISD</cp:lastModifiedBy>
  <cp:revision>2</cp:revision>
  <cp:lastPrinted>2020-01-20T14:52:00Z</cp:lastPrinted>
  <dcterms:created xsi:type="dcterms:W3CDTF">2020-01-20T14:56:00Z</dcterms:created>
  <dcterms:modified xsi:type="dcterms:W3CDTF">2020-01-20T14:56:00Z</dcterms:modified>
</cp:coreProperties>
</file>