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June 11,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       ACCOLADES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PUBLIC COMMENT / PUBLIC FORUM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  <w:tab/>
        <w:t xml:space="preserve">EXECUTIVE SESSION: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Pursuant to Open Meeting Laws 42-46-5 (a)(1) for the following: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Personnel Recommendations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</w:t>
        <w:tab/>
        <w:t xml:space="preserve">RECOMMENDATIONS</w:t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Recommendation #S2018-44:</w:t>
      </w:r>
      <w:r w:rsidDel="00000000" w:rsidR="00000000" w:rsidRPr="00000000">
        <w:rPr>
          <w:rFonts w:ascii="Arial" w:cs="Arial" w:eastAsia="Arial" w:hAnsi="Arial"/>
          <w:rtl w:val="0"/>
        </w:rPr>
        <w:t xml:space="preserve">  Personnel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        ACTION: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minutes of the May 29, 2018 Regular Business Meeting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the May 29, 2018 Executive Session Minutes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</w:t>
        <w:tab/>
        <w:t xml:space="preserve">EXECUTIVE SESSION: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Pursuant to Open Meeting Laws 42-46-5 (a)(1) for the following:  </w:t>
        <w:br w:type="textWrapping"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Superintendent’s Evaluation Discussion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        Superintendent’s Performance Compensation Discussion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June 7,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