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BRISTOL WARREN REGIONAL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SCHOOL COMMITTEE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Thursday, February 28, 2019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6:30 PM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right="882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OPENING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</w:t>
        <w:tab/>
        <w:t xml:space="preserve">PUBLIC COMMENT/PUBLIC FORUM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</w:t>
        <w:tab/>
        <w:t xml:space="preserve">SUPERINTENDENT’S RECOMMENDATIONS AND ISSUES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1. 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Recommendation #S2019-27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That the School Committee, upon the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recommendation of the Budget/Facilities Subcommittee, and supported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by the Superintendent, approve the FY20 bottom line budget request        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IV.    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Erin Schofield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Chairperson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ristol Warren Regional School Committee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POSTED: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February 26, 2019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152" w:top="1152" w:left="1728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rFonts w:ascii="Calibri" w:cs="Calibri" w:eastAsia="Calibri" w:hAnsi="Calibri"/>
        <w:b w:val="0"/>
        <w:sz w:val="48"/>
        <w:szCs w:val="48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720" w:hanging="720"/>
      </w:pPr>
      <w:rPr>
        <w:b w:val="1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700" w:hanging="360"/>
      </w:pPr>
      <w:rPr>
        <w:rFonts w:ascii="Arial" w:cs="Arial" w:eastAsia="Arial" w:hAnsi="Arial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