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REGULAR BUSINESS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Monday, March 25, 2019 -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right="882" w:firstLine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u w:val="single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 OPENING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rPr>
          <w:rFonts w:ascii="Arial" w:cs="Arial" w:eastAsia="Arial" w:hAnsi="Arial"/>
          <w:b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II.</w:t>
        <w:tab/>
        <w:t xml:space="preserve">ACCOLADES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III.            PUBLIC COMMENT/PUBLIC FORUM</w:t>
      </w:r>
    </w:p>
    <w:p w:rsidR="00000000" w:rsidDel="00000000" w:rsidP="00000000" w:rsidRDefault="00000000" w:rsidRPr="00000000" w14:paraId="0000000C">
      <w:pPr>
        <w:pStyle w:val="Heading3"/>
        <w:ind w:left="0" w:firstLine="0"/>
        <w:rPr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</w:t>
      </w:r>
      <w:r w:rsidDel="00000000" w:rsidR="00000000" w:rsidRPr="00000000">
        <w:rPr>
          <w:sz w:val="16"/>
          <w:szCs w:val="16"/>
          <w:rtl w:val="0"/>
        </w:rPr>
        <w:t xml:space="preserve">V.            OLD BUSINESS / CORRESPONDENCE / ANNOUNCEMENTS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Consent Agenda – all items listed with an asterisk (*) are considered to be routine by the School Committee and will be enacted by one motion.  There will be no separate discussion of these items unless a Committee member requests, in which event the items will be withdrawn from the general order of business and considered in the normal sequence on the agenda.</w:t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jc w:val="center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**Consent Agenda items are received and filed with no discussion or further action taken**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*1.  March 11, 2019 School Committee Workshop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ind w:left="0" w:firstLine="0"/>
        <w:rPr>
          <w:sz w:val="16"/>
          <w:szCs w:val="16"/>
        </w:rPr>
      </w:pPr>
      <w:bookmarkStart w:colFirst="0" w:colLast="0" w:name="_qwlb9i3z0b05" w:id="0"/>
      <w:bookmarkEnd w:id="0"/>
      <w:r w:rsidDel="00000000" w:rsidR="00000000" w:rsidRPr="00000000">
        <w:rPr>
          <w:sz w:val="16"/>
          <w:szCs w:val="16"/>
          <w:rtl w:val="0"/>
        </w:rPr>
        <w:t xml:space="preserve"> V.           EXECUTIVE SESSION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 xml:space="preserve">Pursuant to Open Meeting Laws 42-46-5 (a)(1) for the following:  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line="240" w:lineRule="auto"/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Personnel Recommendations #S2019-27</w:t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            OPEN SESSION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1.      Motion to seal the Executive Session Minutes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VI.</w:t>
        <w:tab/>
        <w:t xml:space="preserve">SUPERINTENDENT’S RECOMMENDATIONS AND ISSUES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*1 .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#S2019-27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Personnel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2.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#S2019-28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 Committee, upon the recommendation of the Superintendent,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and supported by the Policy &amp; Curriculum Subcommittee, approve the second reading of the Concussion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Protocol Policy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3.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 Recommendation #S2019-29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and supported by the Policy &amp; Curriculum Subcommittee, approve the second reading of the Discrimination/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Harassment Complaint Filing Form   (ACC-R)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4.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 Recommendation #S2019-30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and supported by the Policy &amp; Curriculum Subcommittee, approve the second reading of the Discrimination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Based on Disability Complaint Filing Form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5.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#S2019-31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and supported by the Policy &amp; Curriculum Subcommittee, approve deletion of Grievance Policy and 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Procedure (AC-R) from the policy book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6.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#S2019-32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and supported by the Policy &amp; Curriculum Subcommittee, approve the second reading of the BWRSD Section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504/ADA Prohibition Against Discrimination Based on Disability Policy   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7. 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#S2019-33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and supported by the Policy &amp; Curriculum Subcommittee, approve the second reading of the Assault,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Weapons, Dangerous Instruments Policy     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8.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#S2019-34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approve the 2019-2020 school calendar 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9.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 Recommendation #S2019-35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approve the request of one (1) family to homeschool their children for the 2018-2019 school year, adhering to all 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requirements as set forth by the Bristol Warren Regional School District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VII.         SUBCOMMITTEE/SCHOOL COMMITTEE REPORTS &amp; INITIATIVES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Policy &amp; Curriculum Subcommittee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Budget/Facilities Subcommittee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Personnel/Contract Negotiations Subcommittee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Wellness Subcommittee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Chairperson’s Initiatives</w:t>
      </w:r>
    </w:p>
    <w:p w:rsidR="00000000" w:rsidDel="00000000" w:rsidP="00000000" w:rsidRDefault="00000000" w:rsidRPr="00000000" w14:paraId="00000039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Superintendent’s Evaluation Tool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Page 2⇨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VIII.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REPORTS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*1.  Administrative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Superintendent’s Report - CONFIDENTIAL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Assistant Superintendent’s Report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Finance’s Report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Literacy and Title I’s Report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Pupil Personnel Services’ Report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Technology’s report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Athletic Director’s Report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B.      District Solicitor’s Report - CONFIDENTIAL</w:t>
      </w:r>
    </w:p>
    <w:p w:rsidR="00000000" w:rsidDel="00000000" w:rsidP="00000000" w:rsidRDefault="00000000" w:rsidRPr="00000000" w14:paraId="0000004A">
      <w:pPr>
        <w:pStyle w:val="Heading3"/>
        <w:rPr>
          <w:rFonts w:ascii="Arial" w:cs="Arial" w:eastAsia="Arial" w:hAnsi="Arial"/>
          <w:sz w:val="16"/>
          <w:szCs w:val="16"/>
        </w:rPr>
      </w:pPr>
      <w:bookmarkStart w:colFirst="0" w:colLast="0" w:name="_u3f5vww4ns52" w:id="1"/>
      <w:bookmarkEnd w:id="1"/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</w:t>
      </w:r>
    </w:p>
    <w:p w:rsidR="00000000" w:rsidDel="00000000" w:rsidP="00000000" w:rsidRDefault="00000000" w:rsidRPr="00000000" w14:paraId="0000004B">
      <w:pPr>
        <w:pStyle w:val="Heading3"/>
        <w:rPr>
          <w:sz w:val="16"/>
          <w:szCs w:val="16"/>
        </w:rPr>
      </w:pPr>
      <w:bookmarkStart w:colFirst="0" w:colLast="0" w:name="_reufcztajrfv" w:id="2"/>
      <w:bookmarkEnd w:id="2"/>
      <w:r w:rsidDel="00000000" w:rsidR="00000000" w:rsidRPr="00000000">
        <w:rPr>
          <w:sz w:val="16"/>
          <w:szCs w:val="16"/>
          <w:rtl w:val="0"/>
        </w:rPr>
        <w:t xml:space="preserve">  IX.          EXECUTIVE SESSION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 xml:space="preserve">Pursuant to Open Meeting Laws 42-46-5 (a)(4) for the following:  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spacing w:after="0" w:line="240" w:lineRule="auto"/>
        <w:ind w:left="1080" w:hanging="360"/>
        <w:rPr>
          <w:b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Re:  Legal Counsel:  Potential Litigation/Litigation Updates</w:t>
      </w:r>
    </w:p>
    <w:p w:rsidR="00000000" w:rsidDel="00000000" w:rsidP="00000000" w:rsidRDefault="00000000" w:rsidRPr="00000000" w14:paraId="0000004E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            OPEN SESSION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1.      Motion to seal the Executive Session Minutes</w:t>
      </w:r>
    </w:p>
    <w:p w:rsidR="00000000" w:rsidDel="00000000" w:rsidP="00000000" w:rsidRDefault="00000000" w:rsidRPr="00000000" w14:paraId="00000051">
      <w:pPr>
        <w:pStyle w:val="Heading3"/>
        <w:rPr>
          <w:rFonts w:ascii="Arial" w:cs="Arial" w:eastAsia="Arial" w:hAnsi="Arial"/>
          <w:sz w:val="16"/>
          <w:szCs w:val="16"/>
        </w:rPr>
      </w:pPr>
      <w:bookmarkStart w:colFirst="0" w:colLast="0" w:name="_mk76vxntn9ve" w:id="3"/>
      <w:bookmarkEnd w:id="3"/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X.     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           Erin Schofield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 Chairperson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B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ristol Warren Regional School Committee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POSTED: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March 21, 2019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152" w:top="1152" w:left="1728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rFonts w:ascii="Calibri" w:cs="Calibri" w:eastAsia="Calibri" w:hAnsi="Calibri"/>
        <w:b w:val="0"/>
        <w:sz w:val="48"/>
        <w:szCs w:val="48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4"/>
        <w:szCs w:val="14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4"/>
        <w:szCs w:val="14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left"/>
      <w:pPr>
        <w:ind w:left="720" w:hanging="720"/>
      </w:pPr>
      <w:rPr>
        <w:b w:val="1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700" w:hanging="360"/>
      </w:pPr>
      <w:rPr>
        <w:rFonts w:ascii="Arial" w:cs="Arial" w:eastAsia="Arial" w:hAnsi="Arial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