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Wednesday, May 1, 2019 - 6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45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ind w:left="0" w:firstLine="0"/>
        <w:rPr>
          <w:sz w:val="20"/>
          <w:szCs w:val="20"/>
        </w:rPr>
      </w:pPr>
      <w:bookmarkStart w:colFirst="0" w:colLast="0" w:name="_qwlb9i3z0b05" w:id="0"/>
      <w:bookmarkEnd w:id="0"/>
      <w:r w:rsidDel="00000000" w:rsidR="00000000" w:rsidRPr="00000000">
        <w:rPr>
          <w:sz w:val="20"/>
          <w:szCs w:val="20"/>
          <w:rtl w:val="0"/>
        </w:rPr>
        <w:t xml:space="preserve">   II.       EXECUTIVE SESSION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Pursuant to Open Meeting Laws 42-46-5 (a)(4) for the following: 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line="240" w:lineRule="auto"/>
        <w:ind w:left="108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Legal advice:  Possible Litigation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line="240" w:lineRule="auto"/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Grievance(s)  Discussion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OPEN SESSION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III.</w:t>
        <w:tab/>
        <w:t xml:space="preserve">ACTION ITEM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.     Approve Memorandum of Understanding (MOU) with BWEA pertaining to Level III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Grievance(s)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IV.</w:t>
        <w:tab/>
        <w:t xml:space="preserve">LEVEL III GRIEVANCE HEARING(S)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3"/>
        <w:rPr>
          <w:rFonts w:ascii="Arial" w:cs="Arial" w:eastAsia="Arial" w:hAnsi="Arial"/>
          <w:b w:val="1"/>
          <w:sz w:val="20"/>
          <w:szCs w:val="20"/>
          <w:vertAlign w:val="baseline"/>
        </w:rPr>
      </w:pPr>
      <w:bookmarkStart w:colFirst="0" w:colLast="0" w:name="_yts1tp6pqais" w:id="1"/>
      <w:bookmarkEnd w:id="1"/>
      <w:r w:rsidDel="00000000" w:rsidR="00000000" w:rsidRPr="00000000">
        <w:rPr>
          <w:sz w:val="20"/>
          <w:szCs w:val="20"/>
          <w:rtl w:val="0"/>
        </w:rPr>
        <w:t xml:space="preserve">    V.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Chairperson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April 29,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48"/>
        <w:szCs w:val="4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