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Monday, July 22, 2019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7:00 PM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450"/>
        <w:rPr>
          <w:rFonts w:ascii="Arial" w:cs="Arial" w:eastAsia="Arial" w:hAnsi="Arial"/>
          <w:b w:val="1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II.          PUBLIC COMMENT/PUBLIC FORUM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III</w:t>
      </w:r>
      <w:r w:rsidDel="00000000" w:rsidR="00000000" w:rsidRPr="00000000">
        <w:rPr>
          <w:sz w:val="16"/>
          <w:szCs w:val="16"/>
          <w:rtl w:val="0"/>
        </w:rPr>
        <w:t xml:space="preserve">.          OLD BUSINESS / CORRESPONDENCE / ANNOUNCEMENTS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*1.  June 24, 2019 Meeting Minutes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*2.  July 10, 2019 Meeting Minutes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*3   July 15, 2019 Meeting Minutes         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ind w:left="0" w:firstLine="0"/>
        <w:rPr>
          <w:sz w:val="16"/>
          <w:szCs w:val="16"/>
        </w:rPr>
      </w:pPr>
      <w:bookmarkStart w:colFirst="0" w:colLast="0" w:name="_qwlb9i3z0b05" w:id="0"/>
      <w:bookmarkEnd w:id="0"/>
      <w:r w:rsidDel="00000000" w:rsidR="00000000" w:rsidRPr="00000000">
        <w:rPr>
          <w:sz w:val="16"/>
          <w:szCs w:val="16"/>
          <w:rtl w:val="0"/>
        </w:rPr>
        <w:t xml:space="preserve">    IV.        EXECUTIVE SESSION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 Recommendations #S2019-55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Job performance of an individual - Said person has been notified in advance, in writing, and advised that he/she may require that the discussion be held in open session</w:t>
      </w:r>
    </w:p>
    <w:p w:rsidR="00000000" w:rsidDel="00000000" w:rsidP="00000000" w:rsidRDefault="00000000" w:rsidRPr="00000000" w14:paraId="0000001C">
      <w:pPr>
        <w:spacing w:after="0" w:line="240" w:lineRule="auto"/>
        <w:ind w:left="108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OPEN SESSION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V.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*1 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#S2019-55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Personnel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2.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#S2019-56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 and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supported by the Policy &amp; Curriculum Subcommittee and the Budget/Facilities Subcommittee, approve the 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second reading of the Food Services Account Policy 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VI.        SUBCOMMITTEE/SCHOOL COMMITTEE REPORTS &amp;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Budget/Facilities Subcommittee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Wellness Subcommittee  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VII.         REPORTS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*1.  Administrative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Superintendent’s Report - CONFIDENTIAL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Finance’s Report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Literacy and Title I’s Report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Athletic Director’s Report        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VIII.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Erin Schofield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Chairperson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B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July 18,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