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ookman Old Style" w:cs="Bookman Old Style" w:eastAsia="Bookman Old Style" w:hAnsi="Bookman Old Style"/>
          <w:sz w:val="18"/>
          <w:szCs w:val="1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4c2f4" w:val="clear"/>
          </w:tcPr>
          <w:p w:rsidR="00000000" w:rsidDel="00000000" w:rsidP="00000000" w:rsidRDefault="00000000" w:rsidRPr="00000000" w14:paraId="00000002">
            <w:pPr>
              <w:widowControl w:val="0"/>
              <w:spacing w:line="240" w:lineRule="auto"/>
              <w:rPr>
                <w:rFonts w:ascii="Bookman Old Style" w:cs="Bookman Old Style" w:eastAsia="Bookman Old Style" w:hAnsi="Bookman Old Style"/>
                <w:color w:val="181818"/>
                <w:sz w:val="20"/>
                <w:szCs w:val="20"/>
                <w:highlight w:val="white"/>
              </w:rPr>
            </w:pPr>
            <w:r w:rsidDel="00000000" w:rsidR="00000000" w:rsidRPr="00000000">
              <w:rPr>
                <w:rFonts w:ascii="Bookman Old Style" w:cs="Bookman Old Style" w:eastAsia="Bookman Old Style" w:hAnsi="Bookman Old Style"/>
                <w:b w:val="1"/>
                <w:sz w:val="18"/>
                <w:szCs w:val="18"/>
                <w:rtl w:val="0"/>
              </w:rPr>
              <w:t xml:space="preserve">Section 1: Literacy Goals &amp; JPS Literacy Vision and Mission Stateme</w:t>
            </w:r>
            <w:r w:rsidDel="00000000" w:rsidR="00000000" w:rsidRPr="00000000">
              <w:rPr>
                <w:rFonts w:ascii="Bookman Old Style" w:cs="Bookman Old Style" w:eastAsia="Bookman Old Style" w:hAnsi="Bookman Old Style"/>
                <w:b w:val="1"/>
                <w:sz w:val="20"/>
                <w:szCs w:val="20"/>
                <w:rtl w:val="0"/>
              </w:rPr>
              <w:t xml:space="preserve">nt</w:t>
            </w:r>
            <w:r w:rsidDel="00000000" w:rsidR="00000000" w:rsidRPr="00000000">
              <w:rPr>
                <w:rtl w:val="0"/>
              </w:rPr>
            </w:r>
          </w:p>
        </w:tc>
      </w:tr>
    </w:tbl>
    <w:p w:rsidR="00000000" w:rsidDel="00000000" w:rsidP="00000000" w:rsidRDefault="00000000" w:rsidRPr="00000000" w14:paraId="00000003">
      <w:pPr>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Jefferson Parish Schools strives to provide the education our students deserve to succeed in life and make our world a better place.  It is our vision in Jefferson Parish for all students to become proficient readers and lifelong learners in order to prepare them for a life of success. </w:t>
      </w:r>
    </w:p>
    <w:p w:rsidR="00000000" w:rsidDel="00000000" w:rsidP="00000000" w:rsidRDefault="00000000" w:rsidRPr="00000000" w14:paraId="00000004">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p w:rsidR="00000000" w:rsidDel="00000000" w:rsidP="00000000" w:rsidRDefault="00000000" w:rsidRPr="00000000" w14:paraId="00000005">
      <w:pPr>
        <w:widowControl w:val="0"/>
        <w:spacing w:line="240" w:lineRule="auto"/>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The literacy mission of Jefferson Parish Public Schools is to produce proficient life long readers. We will provide students with purposeful literacy instruction by equipping teachers with the skills needed to support literacy development through purposeful professional development focusing on the Science of Reading. Teachers will receive  intentional coaching in order to provide high quality reading instruction to build the foundation for strong readers. Students will be given opportunities to receive differentiated reading instruction that targets their individualized literacy needs. Students will be afforded opportunities to extend their learning beyond the classroom through family engagement and community </w:t>
      </w:r>
    </w:p>
    <w:p w:rsidR="00000000" w:rsidDel="00000000" w:rsidP="00000000" w:rsidRDefault="00000000" w:rsidRPr="00000000" w14:paraId="00000006">
      <w:pPr>
        <w:widowControl w:val="0"/>
        <w:spacing w:line="240" w:lineRule="auto"/>
        <w:rPr>
          <w:rFonts w:ascii="Bookman Old Style" w:cs="Bookman Old Style" w:eastAsia="Bookman Old Style" w:hAnsi="Bookman Old Style"/>
          <w:sz w:val="18"/>
          <w:szCs w:val="18"/>
        </w:rPr>
      </w:pPr>
      <w:r w:rsidDel="00000000" w:rsidR="00000000" w:rsidRPr="00000000">
        <w:rPr>
          <w:rFonts w:ascii="Bookman Old Style" w:cs="Bookman Old Style" w:eastAsia="Bookman Old Style" w:hAnsi="Bookman Old Style"/>
          <w:sz w:val="18"/>
          <w:szCs w:val="18"/>
          <w:rtl w:val="0"/>
        </w:rPr>
        <w:t xml:space="preserve">partnerships. </w:t>
      </w:r>
    </w:p>
    <w:p w:rsidR="00000000" w:rsidDel="00000000" w:rsidP="00000000" w:rsidRDefault="00000000" w:rsidRPr="00000000" w14:paraId="00000007">
      <w:pPr>
        <w:widowControl w:val="0"/>
        <w:spacing w:line="240" w:lineRule="auto"/>
        <w:rPr>
          <w:rFonts w:ascii="Bookman Old Style" w:cs="Bookman Old Style" w:eastAsia="Bookman Old Style" w:hAnsi="Bookman Old Style"/>
          <w:sz w:val="18"/>
          <w:szCs w:val="18"/>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420" w:hRule="atLeast"/>
          <w:tblHeader w:val="0"/>
        </w:trPr>
        <w:tc>
          <w:tcPr>
            <w:gridSpan w:val="4"/>
            <w:shd w:fill="ffd966"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sz w:val="18"/>
                <w:szCs w:val="18"/>
              </w:rPr>
            </w:pPr>
            <w:r w:rsidDel="00000000" w:rsidR="00000000" w:rsidRPr="00000000">
              <w:rPr>
                <w:b w:val="1"/>
                <w:sz w:val="18"/>
                <w:szCs w:val="18"/>
                <w:rtl w:val="0"/>
              </w:rPr>
              <w:t xml:space="preserve">22-23 Acadience Data</w:t>
            </w:r>
          </w:p>
        </w:tc>
      </w:tr>
      <w:tr>
        <w:trPr>
          <w:cantSplit w:val="0"/>
          <w:trHeight w:val="420" w:hRule="atLeast"/>
          <w:tblHeader w:val="0"/>
        </w:trPr>
        <w:tc>
          <w:tcPr>
            <w:gridSpan w:val="4"/>
            <w:shd w:fill="a4c2f4"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Based on last year’s Acadience,  41.25% of K-3 students scored at or above grade level. This year we will grow to </w:t>
            </w:r>
            <w:r w:rsidDel="00000000" w:rsidR="00000000" w:rsidRPr="00000000">
              <w:rPr>
                <w:b w:val="1"/>
                <w:sz w:val="18"/>
                <w:szCs w:val="18"/>
                <w:u w:val="single"/>
                <w:rtl w:val="0"/>
              </w:rPr>
              <w:t xml:space="preserve">45 </w:t>
            </w:r>
            <w:r w:rsidDel="00000000" w:rsidR="00000000" w:rsidRPr="00000000">
              <w:rPr>
                <w:b w:val="1"/>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1st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2nd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3rd Grade </w:t>
            </w:r>
          </w:p>
        </w:tc>
      </w:tr>
      <w:tr>
        <w:trPr>
          <w:cantSplit w:val="0"/>
          <w:trHeight w:val="47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BOY: 20%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MOY: 36%</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EOY: 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BOY: 18%</w:t>
            </w:r>
          </w:p>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MOY: 26%</w:t>
            </w:r>
          </w:p>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EOY: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BOY: 32%</w:t>
            </w:r>
          </w:p>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MOY: 28%</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EOY: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BOY: 25%</w:t>
            </w:r>
          </w:p>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MOY: 36%</w:t>
            </w:r>
          </w:p>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EOY: 57%</w:t>
            </w:r>
          </w:p>
        </w:tc>
      </w:tr>
    </w:tbl>
    <w:p w:rsidR="00000000" w:rsidDel="00000000" w:rsidP="00000000" w:rsidRDefault="00000000" w:rsidRPr="00000000" w14:paraId="00000020">
      <w:pPr>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right="2325"/>
              <w:rPr>
                <w:b w:val="1"/>
                <w:sz w:val="18"/>
                <w:szCs w:val="18"/>
              </w:rPr>
            </w:pPr>
            <w:r w:rsidDel="00000000" w:rsidR="00000000" w:rsidRPr="00000000">
              <w:rPr>
                <w:rFonts w:ascii="Bookman Old Style" w:cs="Bookman Old Style" w:eastAsia="Bookman Old Style" w:hAnsi="Bookman Old Style"/>
                <w:b w:val="1"/>
                <w:sz w:val="18"/>
                <w:szCs w:val="18"/>
                <w:rtl w:val="0"/>
              </w:rPr>
              <w:t xml:space="preserve">Section 2: Explicit Instruction, Interventions, and Extensions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b w:val="1"/>
                <w:sz w:val="18"/>
                <w:szCs w:val="18"/>
                <w:rtl w:val="0"/>
              </w:rPr>
              <w:t xml:space="preserve">What are we doing to help your child?</w:t>
            </w:r>
            <w:r w:rsidDel="00000000" w:rsidR="00000000" w:rsidRPr="00000000">
              <w:rPr>
                <w:sz w:val="18"/>
                <w:szCs w:val="18"/>
                <w:rtl w:val="0"/>
              </w:rPr>
              <w:t xml:space="preserve"> </w:t>
            </w:r>
          </w:p>
        </w:tc>
      </w:tr>
      <w:tr>
        <w:trPr>
          <w:cantSplit w:val="0"/>
          <w:trHeight w:val="66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Ex. instruction, intervention, extension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Implementation of Heggerty (phonological awareness)  and CKLA Skills (phonics)  with progress monitoring</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Early Literacy Tutoring for students in grades K–2</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Mission to Mastery Tutoring for students in grades 3-5</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Small group lessons based on data driven instruction needs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Implementation of the LIFT and FIRE Kits for grades 3-5</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Fluency practice - in class and for homework</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MAZE practice - in class and for homework</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18"/>
                <w:szCs w:val="18"/>
              </w:rPr>
            </w:pPr>
            <w:r w:rsidDel="00000000" w:rsidR="00000000" w:rsidRPr="00000000">
              <w:rPr>
                <w:rFonts w:ascii="Bookman Old Style" w:cs="Bookman Old Style" w:eastAsia="Bookman Old Style" w:hAnsi="Bookman Old Style"/>
                <w:b w:val="1"/>
                <w:sz w:val="18"/>
                <w:szCs w:val="18"/>
                <w:rtl w:val="0"/>
              </w:rPr>
              <w:t xml:space="preserve">Section 3: Ongoing Professional Growth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8"/>
                <w:szCs w:val="18"/>
              </w:rPr>
            </w:pPr>
            <w:r w:rsidDel="00000000" w:rsidR="00000000" w:rsidRPr="00000000">
              <w:rPr>
                <w:b w:val="1"/>
                <w:sz w:val="18"/>
                <w:szCs w:val="18"/>
                <w:rtl w:val="0"/>
              </w:rPr>
              <w:t xml:space="preserve">What are we doing to support our teachers? </w:t>
            </w:r>
            <w:r w:rsidDel="00000000" w:rsidR="00000000" w:rsidRPr="00000000">
              <w:rPr>
                <w:sz w:val="18"/>
                <w:szCs w:val="18"/>
                <w:rtl w:val="0"/>
              </w:rPr>
              <w:t xml:space="preserve"> </w:t>
            </w:r>
          </w:p>
        </w:tc>
      </w:tr>
      <w:tr>
        <w:trPr>
          <w:cantSplit w:val="0"/>
          <w:trHeight w:val="66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18"/>
                <w:szCs w:val="18"/>
              </w:rPr>
            </w:pPr>
            <w:r w:rsidDel="00000000" w:rsidR="00000000" w:rsidRPr="00000000">
              <w:rPr>
                <w:sz w:val="18"/>
                <w:szCs w:val="18"/>
                <w:rtl w:val="0"/>
              </w:rPr>
              <w:t xml:space="preserve">Ex. job embedded PD (cluster-AIM) etc. </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numPr>
                <w:ilvl w:val="0"/>
                <w:numId w:val="1"/>
              </w:numPr>
              <w:spacing w:line="240" w:lineRule="auto"/>
              <w:ind w:left="720" w:hanging="360"/>
              <w:rPr>
                <w:sz w:val="24"/>
                <w:szCs w:val="24"/>
              </w:rPr>
            </w:pPr>
            <w:r w:rsidDel="00000000" w:rsidR="00000000" w:rsidRPr="00000000">
              <w:rPr>
                <w:sz w:val="24"/>
                <w:szCs w:val="24"/>
                <w:rtl w:val="0"/>
              </w:rPr>
              <w:t xml:space="preserve">Clusters focused on the Science of Reading</w:t>
            </w:r>
          </w:p>
          <w:p w:rsidR="00000000" w:rsidDel="00000000" w:rsidP="00000000" w:rsidRDefault="00000000" w:rsidRPr="00000000" w14:paraId="00000032">
            <w:pPr>
              <w:widowControl w:val="0"/>
              <w:numPr>
                <w:ilvl w:val="0"/>
                <w:numId w:val="1"/>
              </w:numPr>
              <w:spacing w:line="240" w:lineRule="auto"/>
              <w:ind w:left="720" w:hanging="360"/>
              <w:rPr>
                <w:sz w:val="24"/>
                <w:szCs w:val="24"/>
              </w:rPr>
            </w:pPr>
            <w:r w:rsidDel="00000000" w:rsidR="00000000" w:rsidRPr="00000000">
              <w:rPr>
                <w:sz w:val="24"/>
                <w:szCs w:val="24"/>
                <w:rtl w:val="0"/>
              </w:rPr>
              <w:t xml:space="preserve">Progress Monitoring with Heggerty with Dibels tools–reviewing the students’ work/ data in cluster. </w:t>
            </w:r>
          </w:p>
          <w:p w:rsidR="00000000" w:rsidDel="00000000" w:rsidP="00000000" w:rsidRDefault="00000000" w:rsidRPr="00000000" w14:paraId="00000033">
            <w:pPr>
              <w:widowControl w:val="0"/>
              <w:numPr>
                <w:ilvl w:val="0"/>
                <w:numId w:val="1"/>
              </w:numPr>
              <w:spacing w:line="240" w:lineRule="auto"/>
              <w:ind w:left="720" w:hanging="360"/>
              <w:rPr>
                <w:sz w:val="24"/>
                <w:szCs w:val="24"/>
              </w:rPr>
            </w:pPr>
            <w:r w:rsidDel="00000000" w:rsidR="00000000" w:rsidRPr="00000000">
              <w:rPr>
                <w:sz w:val="24"/>
                <w:szCs w:val="24"/>
                <w:rtl w:val="0"/>
              </w:rPr>
              <w:t xml:space="preserve">In the moment coaching during student centered walkthroughs </w:t>
            </w:r>
          </w:p>
          <w:p w:rsidR="00000000" w:rsidDel="00000000" w:rsidP="00000000" w:rsidRDefault="00000000" w:rsidRPr="00000000" w14:paraId="00000034">
            <w:pPr>
              <w:widowControl w:val="0"/>
              <w:numPr>
                <w:ilvl w:val="0"/>
                <w:numId w:val="1"/>
              </w:numPr>
              <w:spacing w:line="240" w:lineRule="auto"/>
              <w:ind w:left="720" w:hanging="360"/>
              <w:rPr>
                <w:sz w:val="24"/>
                <w:szCs w:val="24"/>
              </w:rPr>
            </w:pPr>
            <w:r w:rsidDel="00000000" w:rsidR="00000000" w:rsidRPr="00000000">
              <w:rPr>
                <w:sz w:val="24"/>
                <w:szCs w:val="24"/>
                <w:rtl w:val="0"/>
              </w:rPr>
              <w:t xml:space="preserve">Teacher field trips to observe others</w:t>
            </w:r>
          </w:p>
          <w:p w:rsidR="00000000" w:rsidDel="00000000" w:rsidP="00000000" w:rsidRDefault="00000000" w:rsidRPr="00000000" w14:paraId="00000035">
            <w:pPr>
              <w:widowControl w:val="0"/>
              <w:numPr>
                <w:ilvl w:val="0"/>
                <w:numId w:val="1"/>
              </w:numPr>
              <w:spacing w:line="240" w:lineRule="auto"/>
              <w:ind w:left="720" w:hanging="360"/>
              <w:rPr>
                <w:sz w:val="24"/>
                <w:szCs w:val="24"/>
              </w:rPr>
            </w:pPr>
            <w:r w:rsidDel="00000000" w:rsidR="00000000" w:rsidRPr="00000000">
              <w:rPr>
                <w:sz w:val="24"/>
                <w:szCs w:val="24"/>
                <w:rtl w:val="0"/>
              </w:rPr>
              <w:t xml:space="preserve">TLF/MT modeling within the mentee’s classroom</w:t>
            </w:r>
          </w:p>
          <w:p w:rsidR="00000000" w:rsidDel="00000000" w:rsidP="00000000" w:rsidRDefault="00000000" w:rsidRPr="00000000" w14:paraId="00000036">
            <w:pPr>
              <w:widowControl w:val="0"/>
              <w:numPr>
                <w:ilvl w:val="0"/>
                <w:numId w:val="1"/>
              </w:numPr>
              <w:spacing w:line="240" w:lineRule="auto"/>
              <w:ind w:left="720" w:hanging="360"/>
              <w:rPr>
                <w:sz w:val="24"/>
                <w:szCs w:val="24"/>
              </w:rPr>
            </w:pPr>
            <w:r w:rsidDel="00000000" w:rsidR="00000000" w:rsidRPr="00000000">
              <w:rPr>
                <w:sz w:val="24"/>
                <w:szCs w:val="24"/>
                <w:rtl w:val="0"/>
              </w:rPr>
              <w:t xml:space="preserve">Daily 5 implementation with fidelity</w:t>
            </w:r>
          </w:p>
          <w:p w:rsidR="00000000" w:rsidDel="00000000" w:rsidP="00000000" w:rsidRDefault="00000000" w:rsidRPr="00000000" w14:paraId="00000037">
            <w:pPr>
              <w:widowControl w:val="0"/>
              <w:numPr>
                <w:ilvl w:val="0"/>
                <w:numId w:val="1"/>
              </w:numPr>
              <w:spacing w:line="240" w:lineRule="auto"/>
              <w:ind w:left="720" w:hanging="360"/>
              <w:rPr>
                <w:sz w:val="24"/>
                <w:szCs w:val="24"/>
                <w:u w:val="none"/>
              </w:rPr>
            </w:pPr>
            <w:r w:rsidDel="00000000" w:rsidR="00000000" w:rsidRPr="00000000">
              <w:rPr>
                <w:sz w:val="24"/>
                <w:szCs w:val="24"/>
                <w:rtl w:val="0"/>
              </w:rPr>
              <w:t xml:space="preserve">Daily analysis of students work to drive whole and small group instruction </w:t>
            </w:r>
          </w:p>
        </w:tc>
      </w:tr>
    </w:tbl>
    <w:p w:rsidR="00000000" w:rsidDel="00000000" w:rsidP="00000000" w:rsidRDefault="00000000" w:rsidRPr="00000000" w14:paraId="00000038">
      <w:pPr>
        <w:rPr>
          <w:sz w:val="18"/>
          <w:szCs w:val="18"/>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18"/>
                <w:szCs w:val="18"/>
              </w:rPr>
            </w:pPr>
            <w:r w:rsidDel="00000000" w:rsidR="00000000" w:rsidRPr="00000000">
              <w:rPr>
                <w:rFonts w:ascii="Bookman Old Style" w:cs="Bookman Old Style" w:eastAsia="Bookman Old Style" w:hAnsi="Bookman Old Style"/>
                <w:b w:val="1"/>
                <w:sz w:val="18"/>
                <w:szCs w:val="18"/>
                <w:rtl w:val="0"/>
              </w:rPr>
              <w:t xml:space="preserve">Section 4: Family Engagement Around Literacy and Communication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18"/>
                <w:szCs w:val="18"/>
              </w:rPr>
            </w:pPr>
            <w:r w:rsidDel="00000000" w:rsidR="00000000" w:rsidRPr="00000000">
              <w:rPr>
                <w:b w:val="1"/>
                <w:sz w:val="18"/>
                <w:szCs w:val="18"/>
                <w:rtl w:val="0"/>
              </w:rPr>
              <w:t xml:space="preserve">How will we communicate with you </w:t>
            </w:r>
            <w:r w:rsidDel="00000000" w:rsidR="00000000" w:rsidRPr="00000000">
              <w:rPr>
                <w:b w:val="1"/>
                <w:i w:val="1"/>
                <w:sz w:val="18"/>
                <w:szCs w:val="18"/>
                <w:u w:val="single"/>
                <w:rtl w:val="0"/>
              </w:rPr>
              <w:t xml:space="preserve">and</w:t>
            </w:r>
            <w:r w:rsidDel="00000000" w:rsidR="00000000" w:rsidRPr="00000000">
              <w:rPr>
                <w:b w:val="1"/>
                <w:sz w:val="18"/>
                <w:szCs w:val="18"/>
                <w:rtl w:val="0"/>
              </w:rPr>
              <w:t xml:space="preserve"> keep you involved?</w:t>
            </w:r>
            <w:r w:rsidDel="00000000" w:rsidR="00000000" w:rsidRPr="00000000">
              <w:rPr>
                <w:sz w:val="18"/>
                <w:szCs w:val="18"/>
                <w:rtl w:val="0"/>
              </w:rPr>
              <w:t xml:space="preserve"> </w:t>
            </w:r>
          </w:p>
        </w:tc>
      </w:tr>
      <w:tr>
        <w:trPr>
          <w:cantSplit w:val="0"/>
          <w:trHeight w:val="66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3"/>
              </w:numPr>
              <w:spacing w:line="240" w:lineRule="auto"/>
              <w:ind w:left="720" w:hanging="360"/>
              <w:rPr>
                <w:sz w:val="24"/>
                <w:szCs w:val="24"/>
              </w:rPr>
            </w:pPr>
            <w:r w:rsidDel="00000000" w:rsidR="00000000" w:rsidRPr="00000000">
              <w:rPr>
                <w:sz w:val="24"/>
                <w:szCs w:val="24"/>
                <w:rtl w:val="0"/>
              </w:rPr>
              <w:t xml:space="preserve">Use Class Dojo as a school wide communication source.</w:t>
            </w:r>
          </w:p>
          <w:p w:rsidR="00000000" w:rsidDel="00000000" w:rsidP="00000000" w:rsidRDefault="00000000" w:rsidRPr="00000000" w14:paraId="0000003C">
            <w:pPr>
              <w:widowControl w:val="0"/>
              <w:numPr>
                <w:ilvl w:val="0"/>
                <w:numId w:val="3"/>
              </w:numPr>
              <w:spacing w:line="240" w:lineRule="auto"/>
              <w:ind w:left="720" w:hanging="360"/>
              <w:rPr>
                <w:sz w:val="24"/>
                <w:szCs w:val="24"/>
              </w:rPr>
            </w:pPr>
            <w:r w:rsidDel="00000000" w:rsidR="00000000" w:rsidRPr="00000000">
              <w:rPr>
                <w:sz w:val="24"/>
                <w:szCs w:val="24"/>
                <w:rtl w:val="0"/>
              </w:rPr>
              <w:t xml:space="preserve">Parent reports for Dibels and benchmark data will be sent home after each testing window. </w:t>
            </w:r>
          </w:p>
          <w:p w:rsidR="00000000" w:rsidDel="00000000" w:rsidP="00000000" w:rsidRDefault="00000000" w:rsidRPr="00000000" w14:paraId="0000003D">
            <w:pPr>
              <w:widowControl w:val="0"/>
              <w:numPr>
                <w:ilvl w:val="0"/>
                <w:numId w:val="3"/>
              </w:numPr>
              <w:spacing w:line="240" w:lineRule="auto"/>
              <w:ind w:left="720" w:hanging="360"/>
              <w:rPr>
                <w:sz w:val="24"/>
                <w:szCs w:val="24"/>
              </w:rPr>
            </w:pPr>
            <w:r w:rsidDel="00000000" w:rsidR="00000000" w:rsidRPr="00000000">
              <w:rPr>
                <w:sz w:val="24"/>
                <w:szCs w:val="24"/>
                <w:rtl w:val="0"/>
              </w:rPr>
              <w:t xml:space="preserve">Backpacks were sent home containing summer learning materials to maintain academic growth over the Summer. </w:t>
            </w:r>
          </w:p>
          <w:p w:rsidR="00000000" w:rsidDel="00000000" w:rsidP="00000000" w:rsidRDefault="00000000" w:rsidRPr="00000000" w14:paraId="0000003E">
            <w:pPr>
              <w:widowControl w:val="0"/>
              <w:numPr>
                <w:ilvl w:val="0"/>
                <w:numId w:val="3"/>
              </w:numPr>
              <w:spacing w:line="240" w:lineRule="auto"/>
              <w:ind w:left="720" w:hanging="360"/>
              <w:rPr>
                <w:sz w:val="24"/>
                <w:szCs w:val="24"/>
              </w:rPr>
            </w:pPr>
            <w:r w:rsidDel="00000000" w:rsidR="00000000" w:rsidRPr="00000000">
              <w:rPr>
                <w:sz w:val="24"/>
                <w:szCs w:val="24"/>
                <w:rtl w:val="0"/>
              </w:rPr>
              <w:t xml:space="preserve">The Mc 26 social media Facebook page will be utilized again this year.</w:t>
            </w:r>
          </w:p>
          <w:p w:rsidR="00000000" w:rsidDel="00000000" w:rsidP="00000000" w:rsidRDefault="00000000" w:rsidRPr="00000000" w14:paraId="0000003F">
            <w:pPr>
              <w:widowControl w:val="0"/>
              <w:numPr>
                <w:ilvl w:val="0"/>
                <w:numId w:val="3"/>
              </w:numPr>
              <w:spacing w:line="240" w:lineRule="auto"/>
              <w:ind w:left="720" w:hanging="360"/>
              <w:rPr>
                <w:sz w:val="24"/>
                <w:szCs w:val="24"/>
              </w:rPr>
            </w:pPr>
            <w:r w:rsidDel="00000000" w:rsidR="00000000" w:rsidRPr="00000000">
              <w:rPr>
                <w:sz w:val="24"/>
                <w:szCs w:val="24"/>
                <w:rtl w:val="0"/>
              </w:rPr>
              <w:t xml:space="preserve">We will host another Family Engagement Literacy Night and Scholastic Book Fair Night.</w:t>
            </w:r>
          </w:p>
        </w:tc>
      </w:tr>
    </w:tbl>
    <w:p w:rsidR="00000000" w:rsidDel="00000000" w:rsidP="00000000" w:rsidRDefault="00000000" w:rsidRPr="00000000" w14:paraId="00000040">
      <w:pPr>
        <w:jc w:val="center"/>
        <w:rPr/>
      </w:pPr>
      <w:r w:rsidDel="00000000" w:rsidR="00000000" w:rsidRPr="00000000">
        <w:rPr>
          <w:rtl w:val="0"/>
        </w:rPr>
      </w:r>
    </w:p>
    <w:sectPr>
      <w:headerReference r:id="rId6" w:type="default"/>
      <w:footerReference r:id="rId7" w:type="default"/>
      <w:pgSz w:h="15840" w:w="12240" w:orient="portrait"/>
      <w:pgMar w:bottom="720" w:top="720" w:left="720" w:right="720"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1323975</wp:posOffset>
          </wp:positionH>
          <wp:positionV relativeFrom="paragraph">
            <wp:posOffset>114300</wp:posOffset>
          </wp:positionV>
          <wp:extent cx="4210050" cy="437150"/>
          <wp:effectExtent b="0" l="0" r="0" t="0"/>
          <wp:wrapNone/>
          <wp:docPr id="1" name="image1.png"/>
          <a:graphic>
            <a:graphicData uri="http://schemas.openxmlformats.org/drawingml/2006/picture">
              <pic:pic>
                <pic:nvPicPr>
                  <pic:cNvPr id="0" name="image1.png"/>
                  <pic:cNvPicPr preferRelativeResize="0"/>
                </pic:nvPicPr>
                <pic:blipFill>
                  <a:blip r:embed="rId1"/>
                  <a:srcRect b="32751" l="9698" r="0" t="0"/>
                  <a:stretch>
                    <a:fillRect/>
                  </a:stretch>
                </pic:blipFill>
                <pic:spPr>
                  <a:xfrm>
                    <a:off x="0" y="0"/>
                    <a:ext cx="4210050" cy="4371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b w:val="1"/>
      </w:rPr>
    </w:pPr>
    <w:r w:rsidDel="00000000" w:rsidR="00000000" w:rsidRPr="00000000">
      <w:rPr>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2981325</wp:posOffset>
          </wp:positionH>
          <wp:positionV relativeFrom="paragraph">
            <wp:posOffset>-160019</wp:posOffset>
          </wp:positionV>
          <wp:extent cx="670968" cy="511530"/>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70968" cy="511530"/>
                  </a:xfrm>
                  <a:prstGeom prst="rect"/>
                  <a:ln/>
                </pic:spPr>
              </pic:pic>
            </a:graphicData>
          </a:graphic>
        </wp:anchor>
      </w:drawing>
    </w:r>
  </w:p>
  <w:p w:rsidR="00000000" w:rsidDel="00000000" w:rsidP="00000000" w:rsidRDefault="00000000" w:rsidRPr="00000000" w14:paraId="00000043">
    <w:pPr>
      <w:rPr>
        <w:b w:val="1"/>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44">
          <w:pPr>
            <w:jc w:val="center"/>
            <w:rPr>
              <w:b w:val="1"/>
            </w:rPr>
          </w:pPr>
          <w:r w:rsidDel="00000000" w:rsidR="00000000" w:rsidRPr="00000000">
            <w:rPr>
              <w:b w:val="1"/>
              <w:rtl w:val="0"/>
            </w:rPr>
            <w:t xml:space="preserve"> MC26/ McDonogh 26/ Homedale Elementary School Literacy Plan 2023-2024</w:t>
          </w:r>
        </w:p>
      </w:tc>
    </w:tr>
  </w:tbl>
  <w:p w:rsidR="00000000" w:rsidDel="00000000" w:rsidP="00000000" w:rsidRDefault="00000000" w:rsidRPr="00000000" w14:paraId="00000045">
    <w:pPr>
      <w:widowControl w:val="0"/>
      <w:spacing w:line="240" w:lineRule="auto"/>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