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AD1A" w14:textId="77777777" w:rsidR="005D1798" w:rsidRDefault="005D1798" w:rsidP="005D1798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Arial" w:hAnsi="Arial" w:cs="Arial"/>
          <w:b/>
          <w:noProof/>
          <w:color w:val="FF0000"/>
        </w:rPr>
        <w:drawing>
          <wp:inline distT="0" distB="0" distL="0" distR="0" wp14:anchorId="6A32D85B" wp14:editId="3BA318F0">
            <wp:extent cx="138112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303FC2B2" w14:textId="77777777" w:rsidR="005D1798" w:rsidRPr="001A3BCE" w:rsidRDefault="005D1798" w:rsidP="005D1798">
      <w:pPr>
        <w:spacing w:after="0" w:line="240" w:lineRule="auto"/>
        <w:jc w:val="center"/>
        <w:rPr>
          <w:rFonts w:ascii="Century Gothic" w:hAnsi="Century Gothic"/>
          <w:b/>
          <w:sz w:val="44"/>
          <w:szCs w:val="44"/>
        </w:rPr>
      </w:pPr>
      <w:r w:rsidRPr="001A3BCE">
        <w:rPr>
          <w:rFonts w:ascii="Century Gothic" w:hAnsi="Century Gothic"/>
          <w:b/>
          <w:sz w:val="44"/>
          <w:szCs w:val="44"/>
        </w:rPr>
        <w:t xml:space="preserve"> ASDF Program Application Instructions</w:t>
      </w:r>
    </w:p>
    <w:p w14:paraId="191CF112" w14:textId="77777777" w:rsidR="005D1798" w:rsidRDefault="005D1798" w:rsidP="005D1798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0659012E" w14:textId="77777777" w:rsidR="005D1798" w:rsidRDefault="005D1798" w:rsidP="005D1798">
      <w:pPr>
        <w:tabs>
          <w:tab w:val="left" w:pos="3600"/>
          <w:tab w:val="left" w:pos="6120"/>
        </w:tabs>
        <w:spacing w:after="0" w:line="240" w:lineRule="auto"/>
        <w:ind w:left="1530"/>
        <w:rPr>
          <w:rFonts w:ascii="Century Gothic" w:hAnsi="Century Gothic"/>
          <w:b/>
          <w:sz w:val="21"/>
          <w:szCs w:val="21"/>
          <w:u w:val="words"/>
        </w:rPr>
      </w:pPr>
      <w:r>
        <w:rPr>
          <w:rFonts w:ascii="Century Gothic" w:hAnsi="Century Gothic"/>
          <w:b/>
          <w:sz w:val="21"/>
          <w:szCs w:val="21"/>
          <w:u w:val="words"/>
        </w:rPr>
        <w:t>Program Type</w:t>
      </w:r>
      <w:r>
        <w:rPr>
          <w:rFonts w:ascii="Century Gothic" w:hAnsi="Century Gothic"/>
          <w:b/>
          <w:sz w:val="21"/>
          <w:szCs w:val="21"/>
          <w:u w:val="words"/>
        </w:rPr>
        <w:tab/>
      </w:r>
      <w:r>
        <w:rPr>
          <w:rFonts w:ascii="Century Gothic" w:hAnsi="Century Gothic"/>
          <w:b/>
          <w:sz w:val="21"/>
          <w:szCs w:val="21"/>
          <w:u w:val="words"/>
        </w:rPr>
        <w:tab/>
        <w:t>Start Date</w:t>
      </w:r>
      <w:r>
        <w:rPr>
          <w:rFonts w:ascii="Century Gothic" w:hAnsi="Century Gothic"/>
          <w:b/>
          <w:sz w:val="21"/>
          <w:szCs w:val="21"/>
          <w:u w:val="words"/>
        </w:rPr>
        <w:tab/>
      </w:r>
    </w:p>
    <w:p w14:paraId="1F8EF9AF" w14:textId="77777777" w:rsidR="005D1798" w:rsidRDefault="005D1798" w:rsidP="005D1798">
      <w:pPr>
        <w:tabs>
          <w:tab w:val="left" w:pos="3600"/>
          <w:tab w:val="left" w:pos="6120"/>
        </w:tabs>
        <w:spacing w:after="0" w:line="240" w:lineRule="auto"/>
        <w:ind w:left="1530"/>
        <w:rPr>
          <w:rFonts w:ascii="Century Gothic" w:hAnsi="Century Gothic"/>
          <w:sz w:val="21"/>
          <w:szCs w:val="21"/>
        </w:rPr>
      </w:pPr>
    </w:p>
    <w:p w14:paraId="4B0D7C59" w14:textId="77777777" w:rsidR="005D1798" w:rsidRDefault="005D1798" w:rsidP="005D1798">
      <w:pPr>
        <w:tabs>
          <w:tab w:val="left" w:pos="3600"/>
          <w:tab w:val="left" w:pos="6120"/>
        </w:tabs>
        <w:spacing w:after="0" w:line="240" w:lineRule="auto"/>
        <w:ind w:left="1530"/>
        <w:rPr>
          <w:rFonts w:ascii="Century Gothic" w:hAnsi="Century Gothic"/>
        </w:rPr>
      </w:pPr>
      <w:r>
        <w:rPr>
          <w:rFonts w:ascii="Century Gothic" w:hAnsi="Century Gothic"/>
        </w:rPr>
        <w:t>New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Fall Semester</w:t>
      </w:r>
      <w:r>
        <w:rPr>
          <w:rFonts w:ascii="Century Gothic" w:hAnsi="Century Gothic"/>
        </w:rPr>
        <w:tab/>
      </w:r>
    </w:p>
    <w:p w14:paraId="5F685100" w14:textId="77777777" w:rsidR="005D1798" w:rsidRDefault="005D1798" w:rsidP="005D1798">
      <w:pPr>
        <w:tabs>
          <w:tab w:val="left" w:pos="3600"/>
          <w:tab w:val="left" w:pos="6120"/>
        </w:tabs>
        <w:spacing w:after="0" w:line="240" w:lineRule="auto"/>
        <w:ind w:left="1530"/>
        <w:rPr>
          <w:rFonts w:ascii="Century Gothic" w:hAnsi="Century Gothic"/>
        </w:rPr>
      </w:pPr>
      <w:r>
        <w:rPr>
          <w:rFonts w:ascii="Century Gothic" w:hAnsi="Century Gothic"/>
        </w:rPr>
        <w:t>New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Spring Semester</w:t>
      </w:r>
      <w:r>
        <w:rPr>
          <w:rFonts w:ascii="Century Gothic" w:hAnsi="Century Gothic"/>
        </w:rPr>
        <w:tab/>
      </w:r>
    </w:p>
    <w:p w14:paraId="3FF851B4" w14:textId="77777777" w:rsidR="005D1798" w:rsidRDefault="005D1798" w:rsidP="005D1798">
      <w:pPr>
        <w:tabs>
          <w:tab w:val="left" w:pos="3600"/>
          <w:tab w:val="left" w:pos="6120"/>
        </w:tabs>
        <w:spacing w:after="0" w:line="240" w:lineRule="auto"/>
        <w:ind w:left="1530"/>
        <w:rPr>
          <w:rFonts w:ascii="Century Gothic" w:hAnsi="Century Gothic"/>
        </w:rPr>
      </w:pPr>
      <w:r>
        <w:rPr>
          <w:rFonts w:ascii="Century Gothic" w:hAnsi="Century Gothic"/>
        </w:rPr>
        <w:t>Existing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Next academic year</w:t>
      </w:r>
    </w:p>
    <w:p w14:paraId="34634507" w14:textId="77777777" w:rsidR="005D1798" w:rsidRDefault="005D1798" w:rsidP="005D1798">
      <w:pPr>
        <w:tabs>
          <w:tab w:val="left" w:pos="3600"/>
          <w:tab w:val="left" w:pos="6120"/>
        </w:tabs>
        <w:spacing w:after="0" w:line="240" w:lineRule="auto"/>
        <w:ind w:left="1530"/>
        <w:rPr>
          <w:rFonts w:ascii="Century Gothic" w:hAnsi="Century Gothic"/>
        </w:rPr>
      </w:pPr>
      <w:r>
        <w:rPr>
          <w:rFonts w:ascii="Century Gothic" w:hAnsi="Century Gothic"/>
        </w:rPr>
        <w:t>Extension/Expansion</w:t>
      </w:r>
      <w:r>
        <w:rPr>
          <w:rFonts w:ascii="Century Gothic" w:hAnsi="Century Gothic"/>
        </w:rPr>
        <w:tab/>
        <w:t>Next academic year</w:t>
      </w:r>
      <w:r>
        <w:rPr>
          <w:rFonts w:ascii="Century Gothic" w:hAnsi="Century Gothic"/>
        </w:rPr>
        <w:tab/>
      </w:r>
    </w:p>
    <w:p w14:paraId="5F5BE0D4" w14:textId="77777777" w:rsidR="005D1798" w:rsidRDefault="005D1798" w:rsidP="005D1798">
      <w:pPr>
        <w:tabs>
          <w:tab w:val="left" w:pos="3600"/>
          <w:tab w:val="left" w:pos="6120"/>
        </w:tabs>
        <w:spacing w:after="0" w:line="240" w:lineRule="auto"/>
        <w:ind w:left="1530"/>
        <w:rPr>
          <w:rFonts w:ascii="Century Gothic" w:hAnsi="Century Gothic"/>
        </w:rPr>
      </w:pPr>
    </w:p>
    <w:p w14:paraId="62CD0333" w14:textId="780B79EA" w:rsidR="005D1798" w:rsidRDefault="005D1798" w:rsidP="005D179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Applicant meets with the ASDF </w:t>
      </w:r>
      <w:r w:rsidR="00016385">
        <w:rPr>
          <w:rFonts w:ascii="Century Gothic" w:hAnsi="Century Gothic"/>
          <w:color w:val="000000" w:themeColor="text1"/>
          <w:sz w:val="20"/>
          <w:szCs w:val="20"/>
        </w:rPr>
        <w:t>e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xecutive </w:t>
      </w:r>
      <w:r w:rsidR="00016385">
        <w:rPr>
          <w:rFonts w:ascii="Century Gothic" w:hAnsi="Century Gothic"/>
          <w:color w:val="000000" w:themeColor="text1"/>
          <w:sz w:val="20"/>
          <w:szCs w:val="20"/>
        </w:rPr>
        <w:t>d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irector and, if available, one </w:t>
      </w:r>
      <w:r w:rsidR="00016385">
        <w:rPr>
          <w:rFonts w:ascii="Century Gothic" w:hAnsi="Century Gothic"/>
          <w:color w:val="000000" w:themeColor="text1"/>
          <w:sz w:val="20"/>
          <w:szCs w:val="20"/>
        </w:rPr>
        <w:t xml:space="preserve">Planning and Programming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Committee member to: </w:t>
      </w:r>
      <w:r>
        <w:rPr>
          <w:rFonts w:ascii="Century Gothic" w:hAnsi="Century Gothic"/>
          <w:color w:val="000000" w:themeColor="text1"/>
          <w:sz w:val="20"/>
          <w:szCs w:val="20"/>
        </w:rPr>
        <w:br/>
      </w:r>
      <w:r>
        <w:rPr>
          <w:rFonts w:ascii="Century Gothic" w:hAnsi="Century Gothic"/>
          <w:color w:val="000000" w:themeColor="text1"/>
          <w:sz w:val="20"/>
          <w:szCs w:val="20"/>
        </w:rPr>
        <w:br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  <w:t xml:space="preserve">a) discuss scope and impact of the new program, </w:t>
      </w:r>
    </w:p>
    <w:p w14:paraId="6E00A1BA" w14:textId="77777777" w:rsidR="005D1798" w:rsidRDefault="005D1798" w:rsidP="005D1798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ab/>
        <w:t>b) assess alignment with ASDF vision, mission, values,</w:t>
      </w:r>
    </w:p>
    <w:p w14:paraId="2949537C" w14:textId="77777777" w:rsidR="005D1798" w:rsidRDefault="005D1798" w:rsidP="00A7094F">
      <w:pPr>
        <w:pStyle w:val="ListParagraph"/>
        <w:spacing w:after="0" w:line="240" w:lineRule="auto"/>
        <w:ind w:left="144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c) determine if funding exists in current budget or a new source of funding will be needed </w:t>
      </w:r>
    </w:p>
    <w:p w14:paraId="7D1479B6" w14:textId="77777777" w:rsidR="005D1798" w:rsidRDefault="005D1798" w:rsidP="005D1798">
      <w:pPr>
        <w:pStyle w:val="ListParagraph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ab/>
        <w:t>d) review completion of the program proposal form</w:t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</w:p>
    <w:p w14:paraId="158E27C4" w14:textId="77777777" w:rsidR="005D1798" w:rsidRDefault="005D1798" w:rsidP="005D1798">
      <w:pPr>
        <w:pStyle w:val="ListParagraph"/>
        <w:spacing w:after="0" w:line="240" w:lineRule="auto"/>
        <w:ind w:left="1710" w:hanging="27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e) review the evaluation score sheet used to assess programs and evaluations desired at the end of the program. </w:t>
      </w:r>
    </w:p>
    <w:p w14:paraId="09984C5E" w14:textId="77777777" w:rsidR="00A7094F" w:rsidRDefault="00A7094F" w:rsidP="005D1798">
      <w:pPr>
        <w:pStyle w:val="ListParagraph"/>
        <w:spacing w:after="0" w:line="240" w:lineRule="auto"/>
        <w:ind w:left="1710" w:hanging="27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f) identify potential and committed </w:t>
      </w:r>
      <w:r>
        <w:rPr>
          <w:rFonts w:ascii="Century Gothic" w:hAnsi="Century Gothic"/>
          <w:sz w:val="20"/>
          <w:szCs w:val="20"/>
        </w:rPr>
        <w:t>funding sources including but not limited to individual gifts, corporate or foundation sponsorships or secured EITC funding, etc.</w:t>
      </w:r>
    </w:p>
    <w:p w14:paraId="32B67489" w14:textId="77777777" w:rsidR="005D1798" w:rsidRDefault="005D1798" w:rsidP="005D1798">
      <w:pPr>
        <w:pStyle w:val="ListParagraph"/>
        <w:spacing w:after="0" w:line="240" w:lineRule="auto"/>
        <w:ind w:firstLine="720"/>
        <w:rPr>
          <w:rFonts w:ascii="Century Gothic" w:hAnsi="Century Gothic"/>
          <w:color w:val="000000" w:themeColor="text1"/>
          <w:sz w:val="16"/>
          <w:szCs w:val="16"/>
        </w:rPr>
      </w:pPr>
    </w:p>
    <w:p w14:paraId="1CA18310" w14:textId="77777777" w:rsidR="005D1798" w:rsidRDefault="005D1798" w:rsidP="005D1798">
      <w:pPr>
        <w:pStyle w:val="ListParagraph"/>
        <w:spacing w:after="0" w:line="240" w:lineRule="auto"/>
        <w:ind w:hanging="36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The ASDF ED reviews idea with appropriate curriculum coordin</w:t>
      </w:r>
      <w:r w:rsidR="0074049F">
        <w:rPr>
          <w:rFonts w:ascii="Century Gothic" w:hAnsi="Century Gothic"/>
          <w:color w:val="000000" w:themeColor="text1"/>
          <w:sz w:val="20"/>
          <w:szCs w:val="20"/>
        </w:rPr>
        <w:t xml:space="preserve">ator to assess ASD interest and </w:t>
      </w:r>
      <w:r>
        <w:rPr>
          <w:rFonts w:ascii="Century Gothic" w:hAnsi="Century Gothic"/>
          <w:color w:val="000000" w:themeColor="text1"/>
          <w:sz w:val="20"/>
          <w:szCs w:val="20"/>
        </w:rPr>
        <w:t>need.</w:t>
      </w:r>
      <w:r>
        <w:rPr>
          <w:rFonts w:ascii="Century Gothic" w:hAnsi="Century Gothic"/>
          <w:color w:val="000000" w:themeColor="text1"/>
          <w:sz w:val="20"/>
          <w:szCs w:val="20"/>
        </w:rPr>
        <w:br/>
      </w:r>
    </w:p>
    <w:p w14:paraId="7B2DC7BD" w14:textId="77777777" w:rsidR="005D1798" w:rsidRDefault="005D1798" w:rsidP="005D179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Applicant fills out ASDF program proposal form.  Applicant must obtain signature(s) from the principal(s) where the program is to take place in order to submit proposal form</w:t>
      </w:r>
      <w:r w:rsidR="00A7094F">
        <w:rPr>
          <w:rFonts w:ascii="Century Gothic" w:hAnsi="Century Gothic"/>
          <w:sz w:val="20"/>
          <w:szCs w:val="20"/>
        </w:rPr>
        <w:t xml:space="preserve"> to the ASDF ED</w:t>
      </w:r>
      <w:r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br/>
      </w:r>
    </w:p>
    <w:p w14:paraId="26549014" w14:textId="36D36A9B" w:rsidR="005D1798" w:rsidRPr="00A7094F" w:rsidRDefault="00A7094F" w:rsidP="00A7094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proposal is presented by the program manager to ASDF </w:t>
      </w:r>
      <w:r w:rsidR="00016385">
        <w:rPr>
          <w:rFonts w:ascii="Century Gothic" w:hAnsi="Century Gothic"/>
          <w:sz w:val="20"/>
          <w:szCs w:val="20"/>
        </w:rPr>
        <w:t xml:space="preserve">Planning and Programming </w:t>
      </w:r>
      <w:r>
        <w:rPr>
          <w:rFonts w:ascii="Century Gothic" w:hAnsi="Century Gothic"/>
          <w:sz w:val="20"/>
          <w:szCs w:val="20"/>
        </w:rPr>
        <w:t>Committee for approval at the next scheduled meeting using the ASDF program proposal evaluation score sheet.</w:t>
      </w:r>
    </w:p>
    <w:p w14:paraId="152810D5" w14:textId="77777777" w:rsidR="005D1798" w:rsidRDefault="005D1798" w:rsidP="005D1798">
      <w:pPr>
        <w:pStyle w:val="ListParagraph"/>
        <w:spacing w:after="0" w:line="240" w:lineRule="auto"/>
        <w:ind w:left="360"/>
        <w:rPr>
          <w:rFonts w:ascii="Century Gothic" w:hAnsi="Century Gothic"/>
          <w:sz w:val="16"/>
          <w:szCs w:val="16"/>
        </w:rPr>
      </w:pPr>
    </w:p>
    <w:p w14:paraId="3D1A6C62" w14:textId="77777777" w:rsidR="005D1798" w:rsidRDefault="005D1798" w:rsidP="005D179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there are no issues, the ASD executive director of curriculum discusses proposal w</w:t>
      </w:r>
      <w:r w:rsidR="00A7094F">
        <w:rPr>
          <w:rFonts w:ascii="Century Gothic" w:hAnsi="Century Gothic"/>
          <w:sz w:val="20"/>
          <w:szCs w:val="20"/>
        </w:rPr>
        <w:t>ith ASD’s chief academic office</w:t>
      </w:r>
      <w:r>
        <w:rPr>
          <w:rFonts w:ascii="Century Gothic" w:hAnsi="Century Gothic"/>
          <w:sz w:val="20"/>
          <w:szCs w:val="20"/>
        </w:rPr>
        <w:t>.  If there are issues, the proposal is sent back to the ASDF executive director with further instructions.</w:t>
      </w:r>
      <w:r>
        <w:rPr>
          <w:rFonts w:ascii="Century Gothic" w:hAnsi="Century Gothic"/>
          <w:sz w:val="20"/>
          <w:szCs w:val="20"/>
        </w:rPr>
        <w:br/>
      </w:r>
    </w:p>
    <w:p w14:paraId="39BCBD80" w14:textId="77777777" w:rsidR="005D1798" w:rsidRDefault="005D1798" w:rsidP="005D179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Once the proposal is complete, the ASD Academic Office signs off on the proposal.</w:t>
      </w:r>
      <w:r>
        <w:rPr>
          <w:rFonts w:ascii="Century Gothic" w:hAnsi="Century Gothic"/>
          <w:sz w:val="20"/>
          <w:szCs w:val="20"/>
        </w:rPr>
        <w:br/>
      </w:r>
    </w:p>
    <w:p w14:paraId="18BE9F6F" w14:textId="77777777" w:rsidR="005D1798" w:rsidRDefault="005D1798" w:rsidP="005D179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proposal is recommended to the ASDF Board of Directors, who approves the proposal at their next scheduled meeting (or electronically). </w:t>
      </w:r>
    </w:p>
    <w:p w14:paraId="63F7272F" w14:textId="77777777" w:rsidR="005D1798" w:rsidRDefault="005D1798" w:rsidP="005D1798">
      <w:pPr>
        <w:pStyle w:val="ListParagraph"/>
        <w:spacing w:after="0" w:line="240" w:lineRule="auto"/>
        <w:ind w:left="360"/>
        <w:rPr>
          <w:rFonts w:ascii="Century Gothic" w:hAnsi="Century Gothic"/>
          <w:sz w:val="16"/>
          <w:szCs w:val="16"/>
        </w:rPr>
      </w:pPr>
    </w:p>
    <w:p w14:paraId="1BA72951" w14:textId="77777777" w:rsidR="005D1798" w:rsidRDefault="005D1798" w:rsidP="005D179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Once approved, the ASDF executive director works with ASD principals and other appropriate ASD staff (i.e. curriculum coordinators), foundations, corporate</w:t>
      </w:r>
      <w:r w:rsidR="00A7094F">
        <w:rPr>
          <w:rFonts w:ascii="Century Gothic" w:hAnsi="Century Gothic"/>
          <w:sz w:val="20"/>
          <w:szCs w:val="20"/>
        </w:rPr>
        <w:t xml:space="preserve"> sponsors, community leaders,</w:t>
      </w:r>
      <w:r>
        <w:rPr>
          <w:rFonts w:ascii="Century Gothic" w:hAnsi="Century Gothic"/>
          <w:sz w:val="20"/>
          <w:szCs w:val="20"/>
        </w:rPr>
        <w:t xml:space="preserve"> ASDF board and staff to implement the program.  </w:t>
      </w:r>
    </w:p>
    <w:p w14:paraId="76E8C9D6" w14:textId="77777777" w:rsidR="005D1798" w:rsidRDefault="005D1798" w:rsidP="005D1798">
      <w:pPr>
        <w:pStyle w:val="ListParagraph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</w:p>
    <w:p w14:paraId="5B940689" w14:textId="77777777" w:rsidR="001A3BCE" w:rsidRDefault="001A3BCE" w:rsidP="005D1798">
      <w:pPr>
        <w:pStyle w:val="ListParagraph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14:paraId="58CB8FE8" w14:textId="77777777" w:rsidR="001A3BCE" w:rsidRDefault="001A3BCE" w:rsidP="005D1798">
      <w:pPr>
        <w:pStyle w:val="ListParagraph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14:paraId="145CA4D4" w14:textId="77777777" w:rsidR="001A3BCE" w:rsidRDefault="001A3BCE" w:rsidP="005D1798">
      <w:pPr>
        <w:pStyle w:val="ListParagraph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14:paraId="412C21EC" w14:textId="77777777" w:rsidR="001A3BCE" w:rsidRDefault="001A3BCE" w:rsidP="005D1798">
      <w:pPr>
        <w:pStyle w:val="ListParagraph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14:paraId="551E2A75" w14:textId="77777777" w:rsidR="001A3BCE" w:rsidRDefault="001A3BCE" w:rsidP="005D1798">
      <w:pPr>
        <w:pStyle w:val="ListParagraph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14:paraId="014FAE8A" w14:textId="77777777" w:rsidR="001A3BCE" w:rsidRDefault="001A3BCE" w:rsidP="005D1798">
      <w:pPr>
        <w:pStyle w:val="ListParagraph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14:paraId="68E7840D" w14:textId="77777777" w:rsidR="001A3BCE" w:rsidRDefault="001A3BCE" w:rsidP="005D1798">
      <w:pPr>
        <w:pStyle w:val="ListParagraph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p w14:paraId="14C1CF1A" w14:textId="77777777" w:rsidR="001A3BCE" w:rsidRDefault="001A3BCE" w:rsidP="005D1798">
      <w:pPr>
        <w:pStyle w:val="ListParagraph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</w:p>
    <w:sectPr w:rsidR="001A3BCE" w:rsidSect="001A3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1C11"/>
    <w:multiLevelType w:val="hybridMultilevel"/>
    <w:tmpl w:val="CADCE026"/>
    <w:lvl w:ilvl="0" w:tplc="507C038A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98"/>
    <w:rsid w:val="00016385"/>
    <w:rsid w:val="00130C1B"/>
    <w:rsid w:val="001A3BCE"/>
    <w:rsid w:val="005D1798"/>
    <w:rsid w:val="0074049F"/>
    <w:rsid w:val="007D4FA7"/>
    <w:rsid w:val="009A25C3"/>
    <w:rsid w:val="00A7094F"/>
    <w:rsid w:val="00BD729F"/>
    <w:rsid w:val="00D867A5"/>
    <w:rsid w:val="00E26AB6"/>
    <w:rsid w:val="00F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98DE"/>
  <w15:chartTrackingRefBased/>
  <w15:docId w15:val="{D815D26D-9650-478D-A8C2-C850BE56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Susan</dc:creator>
  <cp:keywords/>
  <dc:description/>
  <cp:lastModifiedBy>Newhard, Vicki</cp:lastModifiedBy>
  <cp:revision>2</cp:revision>
  <dcterms:created xsi:type="dcterms:W3CDTF">2021-10-21T13:15:00Z</dcterms:created>
  <dcterms:modified xsi:type="dcterms:W3CDTF">2021-10-21T13:15:00Z</dcterms:modified>
</cp:coreProperties>
</file>