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F04E" w14:textId="5F1F5C79" w:rsidR="008645C9" w:rsidRPr="00201B06" w:rsidRDefault="006F0A03" w:rsidP="005201E1">
      <w:pPr>
        <w:pStyle w:val="NoSpacing"/>
        <w:rPr>
          <w:rFonts w:cstheme="minorHAnsi"/>
          <w:b/>
          <w:sz w:val="28"/>
        </w:rPr>
      </w:pPr>
    </w:p>
    <w:tbl>
      <w:tblPr>
        <w:tblStyle w:val="TableGrid"/>
        <w:tblpPr w:leftFromText="180" w:rightFromText="180" w:vertAnchor="page" w:horzAnchor="margin" w:tblpY="1786"/>
        <w:tblW w:w="0" w:type="auto"/>
        <w:tblLook w:val="04A0" w:firstRow="1" w:lastRow="0" w:firstColumn="1" w:lastColumn="0" w:noHBand="0" w:noVBand="1"/>
      </w:tblPr>
      <w:tblGrid>
        <w:gridCol w:w="1075"/>
        <w:gridCol w:w="3690"/>
        <w:gridCol w:w="1440"/>
        <w:gridCol w:w="3145"/>
      </w:tblGrid>
      <w:tr w:rsidR="005201E1" w:rsidRPr="00201B06" w14:paraId="1A19F770" w14:textId="77777777" w:rsidTr="005201E1">
        <w:tc>
          <w:tcPr>
            <w:tcW w:w="1075" w:type="dxa"/>
            <w:shd w:val="clear" w:color="auto" w:fill="D9D9D9" w:themeFill="background1" w:themeFillShade="D9"/>
          </w:tcPr>
          <w:p w14:paraId="55133C53" w14:textId="77777777" w:rsidR="005201E1" w:rsidRPr="00201B06" w:rsidRDefault="005201E1" w:rsidP="005201E1">
            <w:pPr>
              <w:rPr>
                <w:rFonts w:cstheme="minorHAnsi"/>
                <w:b/>
              </w:rPr>
            </w:pPr>
            <w:r w:rsidRPr="00201B06">
              <w:rPr>
                <w:rFonts w:cstheme="minorHAnsi"/>
                <w:b/>
              </w:rPr>
              <w:lastRenderedPageBreak/>
              <w:t>Course</w:t>
            </w:r>
          </w:p>
        </w:tc>
        <w:tc>
          <w:tcPr>
            <w:tcW w:w="3690" w:type="dxa"/>
          </w:tcPr>
          <w:p w14:paraId="5DFE2E1E" w14:textId="77777777" w:rsidR="005201E1" w:rsidRPr="002F1EA5" w:rsidRDefault="005201E1" w:rsidP="005201E1">
            <w:pPr>
              <w:rPr>
                <w:rFonts w:cstheme="minorHAnsi"/>
                <w:sz w:val="18"/>
                <w:szCs w:val="18"/>
              </w:rPr>
            </w:pPr>
            <w:r w:rsidRPr="002F1EA5">
              <w:rPr>
                <w:rFonts w:cstheme="minorHAnsi"/>
                <w:sz w:val="18"/>
                <w:szCs w:val="18"/>
              </w:rPr>
              <w:t>Grade 8 Social Studies</w:t>
            </w:r>
          </w:p>
        </w:tc>
        <w:tc>
          <w:tcPr>
            <w:tcW w:w="1440" w:type="dxa"/>
            <w:shd w:val="clear" w:color="auto" w:fill="D9D9D9" w:themeFill="background1" w:themeFillShade="D9"/>
          </w:tcPr>
          <w:p w14:paraId="7B3C304D" w14:textId="77777777" w:rsidR="005201E1" w:rsidRPr="00201B06" w:rsidRDefault="005201E1" w:rsidP="005201E1">
            <w:pPr>
              <w:rPr>
                <w:rFonts w:cstheme="minorHAnsi"/>
                <w:b/>
              </w:rPr>
            </w:pPr>
            <w:r w:rsidRPr="00201B06">
              <w:rPr>
                <w:rFonts w:cstheme="minorHAnsi"/>
                <w:b/>
              </w:rPr>
              <w:t>GaDOE Unit</w:t>
            </w:r>
          </w:p>
        </w:tc>
        <w:tc>
          <w:tcPr>
            <w:tcW w:w="3145" w:type="dxa"/>
          </w:tcPr>
          <w:p w14:paraId="4F160065" w14:textId="2901D1CA" w:rsidR="005201E1" w:rsidRPr="002F1EA5" w:rsidRDefault="00161463" w:rsidP="005201E1">
            <w:pPr>
              <w:rPr>
                <w:rFonts w:cstheme="minorHAnsi"/>
                <w:sz w:val="18"/>
                <w:szCs w:val="18"/>
              </w:rPr>
            </w:pPr>
            <w:r w:rsidRPr="002F1EA5">
              <w:rPr>
                <w:rFonts w:cstheme="minorHAnsi"/>
                <w:sz w:val="18"/>
                <w:szCs w:val="18"/>
              </w:rPr>
              <w:t xml:space="preserve">Unit </w:t>
            </w:r>
            <w:r w:rsidR="00D479BF">
              <w:rPr>
                <w:rFonts w:cstheme="minorHAnsi"/>
                <w:sz w:val="18"/>
                <w:szCs w:val="18"/>
              </w:rPr>
              <w:t>6</w:t>
            </w:r>
            <w:r w:rsidRPr="002F1EA5">
              <w:rPr>
                <w:rFonts w:cstheme="minorHAnsi"/>
                <w:sz w:val="18"/>
                <w:szCs w:val="18"/>
              </w:rPr>
              <w:t>: Developing National Identities</w:t>
            </w:r>
          </w:p>
        </w:tc>
      </w:tr>
      <w:tr w:rsidR="005201E1" w:rsidRPr="00201B06" w14:paraId="49CC1C8B" w14:textId="77777777" w:rsidTr="005201E1">
        <w:tc>
          <w:tcPr>
            <w:tcW w:w="1075" w:type="dxa"/>
            <w:shd w:val="clear" w:color="auto" w:fill="D9D9D9" w:themeFill="background1" w:themeFillShade="D9"/>
          </w:tcPr>
          <w:p w14:paraId="713647DF" w14:textId="77777777" w:rsidR="005201E1" w:rsidRPr="00201B06" w:rsidRDefault="005201E1" w:rsidP="005201E1">
            <w:pPr>
              <w:rPr>
                <w:rFonts w:cstheme="minorHAnsi"/>
                <w:b/>
              </w:rPr>
            </w:pPr>
            <w:r w:rsidRPr="00201B06">
              <w:rPr>
                <w:rFonts w:cstheme="minorHAnsi"/>
                <w:b/>
              </w:rPr>
              <w:t>GSE Standard</w:t>
            </w:r>
          </w:p>
        </w:tc>
        <w:tc>
          <w:tcPr>
            <w:tcW w:w="8275" w:type="dxa"/>
            <w:gridSpan w:val="3"/>
          </w:tcPr>
          <w:p w14:paraId="32D94286" w14:textId="77777777" w:rsidR="00161463" w:rsidRPr="002F1EA5" w:rsidRDefault="00161463" w:rsidP="00161463">
            <w:pPr>
              <w:pStyle w:val="NoSpacing"/>
              <w:rPr>
                <w:rFonts w:cstheme="minorHAnsi"/>
                <w:sz w:val="18"/>
                <w:szCs w:val="18"/>
              </w:rPr>
            </w:pPr>
            <w:r w:rsidRPr="002F1EA5">
              <w:rPr>
                <w:rFonts w:cstheme="minorHAnsi"/>
                <w:sz w:val="18"/>
                <w:szCs w:val="18"/>
              </w:rPr>
              <w:t xml:space="preserve">SS8H7 Evaluate key political, social, and economic changes that occurred in Georgia during the New South Era. </w:t>
            </w:r>
          </w:p>
          <w:p w14:paraId="4A701B17" w14:textId="16F182AA" w:rsidR="005201E1" w:rsidRPr="006C1DE0" w:rsidRDefault="00161463" w:rsidP="00161463">
            <w:pPr>
              <w:pStyle w:val="NoSpacing"/>
              <w:rPr>
                <w:rFonts w:cstheme="minorHAnsi"/>
              </w:rPr>
            </w:pPr>
            <w:r w:rsidRPr="002F1EA5">
              <w:rPr>
                <w:rFonts w:cstheme="minorHAnsi"/>
                <w:sz w:val="18"/>
                <w:szCs w:val="18"/>
              </w:rPr>
              <w:t>b. Analyze how rights were denied to African Americans or Blacks through Jim Crow laws, Plessy v. Ferguson, disenfranchisement, and racial violence, including the 1906 Atlanta Riot.</w:t>
            </w:r>
            <w:r w:rsidRPr="006C1DE0">
              <w:rPr>
                <w:rFonts w:cstheme="minorHAnsi"/>
              </w:rPr>
              <w:t xml:space="preserve"> </w:t>
            </w:r>
          </w:p>
        </w:tc>
      </w:tr>
      <w:tr w:rsidR="005201E1" w:rsidRPr="00201B06" w14:paraId="4FF3E5E4" w14:textId="77777777" w:rsidTr="005201E1">
        <w:tc>
          <w:tcPr>
            <w:tcW w:w="1075" w:type="dxa"/>
            <w:shd w:val="clear" w:color="auto" w:fill="D9D9D9" w:themeFill="background1" w:themeFillShade="D9"/>
          </w:tcPr>
          <w:p w14:paraId="33D6A6B1" w14:textId="77777777" w:rsidR="005201E1" w:rsidRDefault="005201E1" w:rsidP="005201E1">
            <w:pPr>
              <w:rPr>
                <w:rFonts w:cstheme="minorHAnsi"/>
                <w:b/>
              </w:rPr>
            </w:pPr>
          </w:p>
          <w:p w14:paraId="4CC59F87" w14:textId="77777777" w:rsidR="005201E1" w:rsidRPr="00201B06" w:rsidRDefault="005201E1" w:rsidP="005201E1">
            <w:pPr>
              <w:rPr>
                <w:rFonts w:cstheme="minorHAnsi"/>
                <w:b/>
              </w:rPr>
            </w:pPr>
            <w:r w:rsidRPr="00201B06">
              <w:rPr>
                <w:rFonts w:cstheme="minorHAnsi"/>
                <w:b/>
              </w:rPr>
              <w:t>Essential Question</w:t>
            </w:r>
          </w:p>
          <w:p w14:paraId="5485E5F8" w14:textId="77777777" w:rsidR="005201E1" w:rsidRPr="00201B06" w:rsidRDefault="005201E1" w:rsidP="005201E1">
            <w:pPr>
              <w:rPr>
                <w:rFonts w:cstheme="minorHAnsi"/>
                <w:b/>
              </w:rPr>
            </w:pPr>
          </w:p>
        </w:tc>
        <w:tc>
          <w:tcPr>
            <w:tcW w:w="8275" w:type="dxa"/>
            <w:gridSpan w:val="3"/>
          </w:tcPr>
          <w:p w14:paraId="1ECBC85B" w14:textId="77777777" w:rsidR="00122EE1" w:rsidRDefault="00122EE1" w:rsidP="005201E1">
            <w:pPr>
              <w:rPr>
                <w:rFonts w:cstheme="minorHAnsi"/>
                <w:sz w:val="18"/>
                <w:szCs w:val="18"/>
              </w:rPr>
            </w:pPr>
          </w:p>
          <w:p w14:paraId="3083EBA5" w14:textId="4F9B95B9" w:rsidR="005201E1" w:rsidRPr="002F1EA5" w:rsidRDefault="00161463" w:rsidP="005201E1">
            <w:pPr>
              <w:rPr>
                <w:rFonts w:cstheme="minorHAnsi"/>
                <w:sz w:val="18"/>
                <w:szCs w:val="18"/>
              </w:rPr>
            </w:pPr>
            <w:r w:rsidRPr="002F1EA5">
              <w:rPr>
                <w:rFonts w:cstheme="minorHAnsi"/>
                <w:sz w:val="18"/>
                <w:szCs w:val="18"/>
              </w:rPr>
              <w:t xml:space="preserve">How were African Americans’ political rights denied through disenfranchisement, Jim Crow laws, and racial violence? </w:t>
            </w:r>
          </w:p>
        </w:tc>
      </w:tr>
      <w:tr w:rsidR="005201E1" w:rsidRPr="00201B06" w14:paraId="3F2F56A2" w14:textId="77777777" w:rsidTr="005201E1">
        <w:tc>
          <w:tcPr>
            <w:tcW w:w="4765" w:type="dxa"/>
            <w:gridSpan w:val="2"/>
            <w:shd w:val="clear" w:color="auto" w:fill="D9D9D9" w:themeFill="background1" w:themeFillShade="D9"/>
          </w:tcPr>
          <w:p w14:paraId="5AC74A92" w14:textId="77777777" w:rsidR="005201E1" w:rsidRPr="00201B06" w:rsidRDefault="005201E1" w:rsidP="005201E1">
            <w:pPr>
              <w:jc w:val="center"/>
              <w:rPr>
                <w:rFonts w:cstheme="minorHAnsi"/>
                <w:b/>
              </w:rPr>
            </w:pPr>
            <w:r w:rsidRPr="00201B06">
              <w:rPr>
                <w:rFonts w:cstheme="minorHAnsi"/>
                <w:b/>
              </w:rPr>
              <w:t>Lesson Materials</w:t>
            </w:r>
          </w:p>
        </w:tc>
        <w:tc>
          <w:tcPr>
            <w:tcW w:w="4585" w:type="dxa"/>
            <w:gridSpan w:val="2"/>
            <w:shd w:val="clear" w:color="auto" w:fill="D9D9D9" w:themeFill="background1" w:themeFillShade="D9"/>
          </w:tcPr>
          <w:p w14:paraId="2A84AEB6" w14:textId="77777777" w:rsidR="005201E1" w:rsidRPr="00201B06" w:rsidRDefault="005201E1" w:rsidP="005201E1">
            <w:pPr>
              <w:jc w:val="center"/>
              <w:rPr>
                <w:rFonts w:cstheme="minorHAnsi"/>
                <w:b/>
              </w:rPr>
            </w:pPr>
            <w:r w:rsidRPr="00201B06">
              <w:rPr>
                <w:rFonts w:cstheme="minorHAnsi"/>
                <w:b/>
              </w:rPr>
              <w:t>Key Vocabulary, People Events</w:t>
            </w:r>
          </w:p>
        </w:tc>
      </w:tr>
      <w:tr w:rsidR="005201E1" w:rsidRPr="00201B06" w14:paraId="55783A9E" w14:textId="77777777" w:rsidTr="005201E1">
        <w:tc>
          <w:tcPr>
            <w:tcW w:w="4765" w:type="dxa"/>
            <w:gridSpan w:val="2"/>
          </w:tcPr>
          <w:p w14:paraId="352FDEAB" w14:textId="6581D6F1" w:rsidR="00122EE1" w:rsidRDefault="00122EE1" w:rsidP="00986FE8"/>
          <w:p w14:paraId="411FC546" w14:textId="1B2E5F64" w:rsidR="00C26A7D" w:rsidRDefault="00BF04A9" w:rsidP="00986FE8">
            <w:r>
              <w:t xml:space="preserve">Lesson 1: </w:t>
            </w:r>
            <w:r w:rsidR="00741E50">
              <w:t xml:space="preserve">Navigating Through Segregation </w:t>
            </w:r>
          </w:p>
          <w:p w14:paraId="5D0E4DC7" w14:textId="17B3A99E" w:rsidR="00BF04A9" w:rsidRDefault="00BF04A9" w:rsidP="00986FE8">
            <w:r>
              <w:t xml:space="preserve">   </w:t>
            </w:r>
            <w:hyperlink r:id="rId10" w:history="1">
              <w:r w:rsidRPr="0048466F">
                <w:rPr>
                  <w:rStyle w:val="Hyperlink"/>
                </w:rPr>
                <w:t>PowerPoint</w:t>
              </w:r>
            </w:hyperlink>
          </w:p>
          <w:p w14:paraId="652B4F94" w14:textId="75C5147A" w:rsidR="00BF04A9" w:rsidRDefault="00BF04A9" w:rsidP="00986FE8">
            <w:r>
              <w:t xml:space="preserve">   </w:t>
            </w:r>
            <w:hyperlink r:id="rId11" w:history="1">
              <w:r w:rsidRPr="0048466F">
                <w:rPr>
                  <w:rStyle w:val="Hyperlink"/>
                </w:rPr>
                <w:t>Handout</w:t>
              </w:r>
            </w:hyperlink>
          </w:p>
          <w:p w14:paraId="6F99AFFC" w14:textId="3F571041" w:rsidR="00BF04A9" w:rsidRDefault="00BF04A9" w:rsidP="00986FE8">
            <w:r>
              <w:t xml:space="preserve">      </w:t>
            </w:r>
          </w:p>
          <w:p w14:paraId="34299016" w14:textId="1F379A89" w:rsidR="00741E50" w:rsidRDefault="00BF04A9" w:rsidP="00986FE8">
            <w:r>
              <w:t xml:space="preserve">Lesson 2: </w:t>
            </w:r>
            <w:r w:rsidR="00741E50">
              <w:t>New South</w:t>
            </w:r>
          </w:p>
          <w:p w14:paraId="054BF08F" w14:textId="06148059" w:rsidR="00741E50" w:rsidRDefault="00BF04A9" w:rsidP="00986FE8">
            <w:r>
              <w:t xml:space="preserve">    </w:t>
            </w:r>
            <w:hyperlink r:id="rId12" w:history="1">
              <w:r w:rsidRPr="0062205D">
                <w:rPr>
                  <w:rStyle w:val="Hyperlink"/>
                </w:rPr>
                <w:t>PowerPoint</w:t>
              </w:r>
            </w:hyperlink>
          </w:p>
          <w:p w14:paraId="599EECE1" w14:textId="77777777" w:rsidR="00BF04A9" w:rsidRDefault="00BF04A9" w:rsidP="00986FE8"/>
          <w:p w14:paraId="51AB216E" w14:textId="7392E5AB" w:rsidR="00C26A7D" w:rsidRDefault="00122EE1" w:rsidP="00986FE8">
            <w:r>
              <w:t>Primary Sources</w:t>
            </w:r>
          </w:p>
          <w:p w14:paraId="197101B3" w14:textId="0AD1FEFD" w:rsidR="00986FE8" w:rsidRDefault="006F0A03" w:rsidP="00986FE8">
            <w:pPr>
              <w:rPr>
                <w:iCs/>
                <w:sz w:val="18"/>
                <w:szCs w:val="18"/>
              </w:rPr>
            </w:pPr>
            <w:hyperlink r:id="rId13" w:anchor="obj7" w:history="1">
              <w:r w:rsidR="00986FE8" w:rsidRPr="00161463">
                <w:rPr>
                  <w:rStyle w:val="Hyperlink"/>
                  <w:sz w:val="18"/>
                  <w:szCs w:val="18"/>
                </w:rPr>
                <w:t>“In Georgia.” Puck, April 11, 1900. Facsimile of magazine cover.</w:t>
              </w:r>
            </w:hyperlink>
          </w:p>
          <w:p w14:paraId="7FDF2335" w14:textId="1F5AFE54" w:rsidR="005201E1" w:rsidRPr="00161463" w:rsidRDefault="006F0A03" w:rsidP="00161463">
            <w:pPr>
              <w:rPr>
                <w:sz w:val="18"/>
                <w:szCs w:val="18"/>
              </w:rPr>
            </w:pPr>
            <w:hyperlink r:id="rId14" w:history="1">
              <w:r w:rsidR="00BB216C">
                <w:rPr>
                  <w:rStyle w:val="Hyperlink"/>
                  <w:rFonts w:cstheme="minorHAnsi"/>
                  <w:sz w:val="18"/>
                  <w:szCs w:val="18"/>
                </w:rPr>
                <w:t xml:space="preserve">Reading the Fine Print: The Grandfather Clause in Louisiana, 1898. History Matters. </w:t>
              </w:r>
            </w:hyperlink>
            <w:r w:rsidR="00161463" w:rsidRPr="00161463">
              <w:rPr>
                <w:sz w:val="18"/>
                <w:szCs w:val="18"/>
              </w:rPr>
              <w:t xml:space="preserve"> </w:t>
            </w:r>
          </w:p>
          <w:p w14:paraId="48DA5829" w14:textId="644DA3D1" w:rsidR="00161463" w:rsidRDefault="006F0A03" w:rsidP="005201E1">
            <w:pPr>
              <w:rPr>
                <w:sz w:val="18"/>
                <w:szCs w:val="18"/>
              </w:rPr>
            </w:pPr>
            <w:hyperlink r:id="rId15" w:history="1">
              <w:r w:rsidR="00161463" w:rsidRPr="00161463">
                <w:rPr>
                  <w:rStyle w:val="Hyperlink"/>
                  <w:sz w:val="18"/>
                  <w:szCs w:val="18"/>
                </w:rPr>
                <w:t xml:space="preserve">Anti-Poll Tax Button, 1940s. National Museum of American History. </w:t>
              </w:r>
            </w:hyperlink>
            <w:r w:rsidR="00161463" w:rsidRPr="00161463">
              <w:rPr>
                <w:sz w:val="18"/>
                <w:szCs w:val="18"/>
              </w:rPr>
              <w:t xml:space="preserve"> </w:t>
            </w:r>
          </w:p>
          <w:p w14:paraId="69AD06E6" w14:textId="36EE7609" w:rsidR="005201E1" w:rsidRPr="00E847D1" w:rsidRDefault="006F0A03" w:rsidP="005201E1">
            <w:pPr>
              <w:rPr>
                <w:rFonts w:cstheme="minorHAnsi"/>
                <w:sz w:val="18"/>
                <w:szCs w:val="18"/>
              </w:rPr>
            </w:pPr>
            <w:hyperlink r:id="rId16" w:history="1">
              <w:r w:rsidR="00BB216C" w:rsidRPr="00BB216C">
                <w:rPr>
                  <w:rStyle w:val="Hyperlink"/>
                  <w:sz w:val="18"/>
                  <w:szCs w:val="18"/>
                </w:rPr>
                <w:t>Alabama 1965 Literacy Test</w:t>
              </w:r>
            </w:hyperlink>
            <w:r w:rsidR="00BB216C">
              <w:rPr>
                <w:sz w:val="18"/>
                <w:szCs w:val="18"/>
              </w:rPr>
              <w:t xml:space="preserve"> </w:t>
            </w:r>
          </w:p>
          <w:p w14:paraId="5C234019" w14:textId="54FE60F1" w:rsidR="0019156A" w:rsidRDefault="006F0A03" w:rsidP="0019156A">
            <w:pPr>
              <w:rPr>
                <w:rFonts w:ascii="Calibri" w:hAnsi="Calibri" w:cs="Calibri"/>
                <w:iCs/>
                <w:color w:val="666666"/>
                <w:sz w:val="18"/>
                <w:szCs w:val="18"/>
              </w:rPr>
            </w:pPr>
            <w:hyperlink r:id="rId17" w:anchor="obj6" w:history="1">
              <w:r w:rsidR="0019156A" w:rsidRPr="00161463">
                <w:rPr>
                  <w:rStyle w:val="Hyperlink"/>
                  <w:rFonts w:ascii="Calibri" w:hAnsi="Calibri" w:cs="Calibri"/>
                  <w:sz w:val="18"/>
                  <w:szCs w:val="18"/>
                </w:rPr>
                <w:t>Ida B. Wells-Barnett Lynch Law in Georgia. Chicago: Chicago Colored Citizens, 1899.</w:t>
              </w:r>
            </w:hyperlink>
            <w:r w:rsidR="0019156A">
              <w:rPr>
                <w:rFonts w:ascii="Calibri" w:hAnsi="Calibri" w:cs="Calibri"/>
                <w:sz w:val="18"/>
                <w:szCs w:val="18"/>
              </w:rPr>
              <w:t xml:space="preserve"> </w:t>
            </w:r>
            <w:r w:rsidR="008D55AF">
              <w:rPr>
                <w:rFonts w:ascii="Calibri" w:hAnsi="Calibri" w:cs="Calibri"/>
                <w:iCs/>
                <w:color w:val="666666"/>
                <w:sz w:val="18"/>
                <w:szCs w:val="18"/>
              </w:rPr>
              <w:t>Page 9-10</w:t>
            </w:r>
            <w:r w:rsidR="0019156A" w:rsidRPr="00161463">
              <w:rPr>
                <w:rFonts w:ascii="Calibri" w:hAnsi="Calibri" w:cs="Calibri"/>
                <w:iCs/>
                <w:color w:val="666666"/>
                <w:sz w:val="18"/>
                <w:szCs w:val="18"/>
              </w:rPr>
              <w:t xml:space="preserve"> </w:t>
            </w:r>
          </w:p>
          <w:p w14:paraId="3774869B" w14:textId="24E782A7" w:rsidR="00E847D1" w:rsidRPr="00E847D1" w:rsidRDefault="006F0A03" w:rsidP="00E847D1">
            <w:pPr>
              <w:rPr>
                <w:sz w:val="18"/>
                <w:szCs w:val="18"/>
              </w:rPr>
            </w:pPr>
            <w:hyperlink r:id="rId18" w:history="1">
              <w:r w:rsidR="00E847D1" w:rsidRPr="0019156A">
                <w:rPr>
                  <w:rStyle w:val="Hyperlink"/>
                  <w:sz w:val="18"/>
                  <w:szCs w:val="18"/>
                </w:rPr>
                <w:t>Letter to the Attorney General Regarding Mob Violence</w:t>
              </w:r>
            </w:hyperlink>
          </w:p>
          <w:p w14:paraId="3EF12EAD" w14:textId="11AD03D9" w:rsidR="00E847D1" w:rsidRDefault="006F0A03" w:rsidP="00E847D1">
            <w:pPr>
              <w:rPr>
                <w:rStyle w:val="Hyperlink"/>
                <w:sz w:val="18"/>
                <w:szCs w:val="18"/>
              </w:rPr>
            </w:pPr>
            <w:hyperlink r:id="rId19" w:history="1">
              <w:r w:rsidR="00E847D1" w:rsidRPr="00161463">
                <w:rPr>
                  <w:rStyle w:val="Hyperlink"/>
                  <w:sz w:val="18"/>
                  <w:szCs w:val="18"/>
                </w:rPr>
                <w:t>Georgia’s Jim Crow Laws</w:t>
              </w:r>
            </w:hyperlink>
          </w:p>
          <w:p w14:paraId="35794545" w14:textId="08632CB4" w:rsidR="002B271B" w:rsidRDefault="002B271B" w:rsidP="00E847D1">
            <w:pPr>
              <w:rPr>
                <w:rStyle w:val="Hyperlink"/>
                <w:sz w:val="18"/>
                <w:szCs w:val="18"/>
              </w:rPr>
            </w:pPr>
          </w:p>
          <w:p w14:paraId="5FB6B78D" w14:textId="77777777" w:rsidR="002B271B" w:rsidRPr="00E847D1" w:rsidRDefault="002B271B" w:rsidP="00E847D1">
            <w:pPr>
              <w:rPr>
                <w:sz w:val="18"/>
                <w:szCs w:val="18"/>
              </w:rPr>
            </w:pPr>
          </w:p>
          <w:p w14:paraId="0FABCCC9" w14:textId="7533045E" w:rsidR="006C1DE0" w:rsidRDefault="006F0A03" w:rsidP="0019156A">
            <w:pPr>
              <w:rPr>
                <w:rFonts w:ascii="Calibri" w:hAnsi="Calibri" w:cs="Calibri"/>
                <w:iCs/>
                <w:color w:val="666666"/>
                <w:sz w:val="18"/>
                <w:szCs w:val="18"/>
              </w:rPr>
            </w:pPr>
            <w:hyperlink r:id="rId20" w:history="1">
              <w:r w:rsidR="006C1DE0" w:rsidRPr="006C1DE0">
                <w:rPr>
                  <w:rStyle w:val="Hyperlink"/>
                  <w:rFonts w:ascii="Calibri" w:hAnsi="Calibri" w:cs="Calibri"/>
                  <w:sz w:val="18"/>
                  <w:szCs w:val="18"/>
                </w:rPr>
                <w:t>Primary Analysis Tool</w:t>
              </w:r>
            </w:hyperlink>
            <w:r w:rsidR="006C1DE0">
              <w:rPr>
                <w:rFonts w:ascii="Calibri" w:hAnsi="Calibri" w:cs="Calibri"/>
                <w:iCs/>
                <w:color w:val="666666"/>
                <w:sz w:val="18"/>
                <w:szCs w:val="18"/>
              </w:rPr>
              <w:t xml:space="preserve"> </w:t>
            </w:r>
          </w:p>
          <w:p w14:paraId="413B86D4" w14:textId="77777777" w:rsidR="00E847D1" w:rsidRPr="00161463" w:rsidRDefault="00E847D1" w:rsidP="0019156A">
            <w:pPr>
              <w:rPr>
                <w:rFonts w:ascii="Calibri" w:hAnsi="Calibri" w:cs="Calibri"/>
                <w:sz w:val="18"/>
                <w:szCs w:val="18"/>
              </w:rPr>
            </w:pPr>
          </w:p>
          <w:p w14:paraId="054D3E91" w14:textId="20343DE6" w:rsidR="0019156A" w:rsidRPr="00BA4B75" w:rsidRDefault="0019156A" w:rsidP="005201E1">
            <w:pPr>
              <w:rPr>
                <w:sz w:val="18"/>
                <w:szCs w:val="18"/>
              </w:rPr>
            </w:pPr>
          </w:p>
        </w:tc>
        <w:tc>
          <w:tcPr>
            <w:tcW w:w="4585" w:type="dxa"/>
            <w:gridSpan w:val="2"/>
          </w:tcPr>
          <w:p w14:paraId="57AEB97B" w14:textId="77777777" w:rsidR="00BB216C" w:rsidRPr="006D61CB" w:rsidRDefault="00BB216C" w:rsidP="00BB216C">
            <w:pPr>
              <w:rPr>
                <w:rFonts w:cstheme="minorHAnsi"/>
                <w:sz w:val="18"/>
                <w:szCs w:val="18"/>
              </w:rPr>
            </w:pPr>
            <w:r w:rsidRPr="006D61CB">
              <w:rPr>
                <w:rFonts w:cstheme="minorHAnsi"/>
                <w:sz w:val="18"/>
                <w:szCs w:val="18"/>
              </w:rPr>
              <w:t xml:space="preserve">Disenfranchisement  </w:t>
            </w:r>
          </w:p>
          <w:p w14:paraId="650E8B9B" w14:textId="7C00A84F" w:rsidR="00BB216C" w:rsidRPr="006D61CB" w:rsidRDefault="00BB216C" w:rsidP="00BB216C">
            <w:pPr>
              <w:rPr>
                <w:rFonts w:cstheme="minorHAnsi"/>
                <w:sz w:val="18"/>
                <w:szCs w:val="18"/>
              </w:rPr>
            </w:pPr>
            <w:r w:rsidRPr="006D61CB">
              <w:rPr>
                <w:rFonts w:cstheme="minorHAnsi"/>
                <w:sz w:val="18"/>
                <w:szCs w:val="18"/>
              </w:rPr>
              <w:t xml:space="preserve">Jim Crow </w:t>
            </w:r>
          </w:p>
          <w:p w14:paraId="4045D8FC" w14:textId="22CBC424" w:rsidR="00BB216C" w:rsidRPr="006D61CB" w:rsidRDefault="00BB216C" w:rsidP="00BB216C">
            <w:pPr>
              <w:rPr>
                <w:rFonts w:cstheme="minorHAnsi"/>
                <w:sz w:val="18"/>
                <w:szCs w:val="18"/>
              </w:rPr>
            </w:pPr>
            <w:r w:rsidRPr="006D61CB">
              <w:rPr>
                <w:rFonts w:cstheme="minorHAnsi"/>
                <w:sz w:val="18"/>
                <w:szCs w:val="18"/>
              </w:rPr>
              <w:t xml:space="preserve">Racial Violence </w:t>
            </w:r>
          </w:p>
          <w:p w14:paraId="7E304F3F" w14:textId="4DAEF038" w:rsidR="00BB216C" w:rsidRPr="006D61CB" w:rsidRDefault="00BB216C" w:rsidP="00BB216C">
            <w:pPr>
              <w:rPr>
                <w:rFonts w:cstheme="minorHAnsi"/>
                <w:sz w:val="18"/>
                <w:szCs w:val="18"/>
              </w:rPr>
            </w:pPr>
            <w:r w:rsidRPr="006D61CB">
              <w:rPr>
                <w:rFonts w:cstheme="minorHAnsi"/>
                <w:sz w:val="18"/>
                <w:szCs w:val="18"/>
              </w:rPr>
              <w:t xml:space="preserve">New South </w:t>
            </w:r>
          </w:p>
          <w:p w14:paraId="7A0EB709" w14:textId="77777777" w:rsidR="00BB216C" w:rsidRPr="006D61CB" w:rsidRDefault="00BB216C" w:rsidP="00BB216C">
            <w:pPr>
              <w:rPr>
                <w:rFonts w:cstheme="minorHAnsi"/>
                <w:sz w:val="18"/>
                <w:szCs w:val="18"/>
              </w:rPr>
            </w:pPr>
            <w:r w:rsidRPr="006D61CB">
              <w:rPr>
                <w:rFonts w:cstheme="minorHAnsi"/>
                <w:sz w:val="18"/>
                <w:szCs w:val="18"/>
              </w:rPr>
              <w:t xml:space="preserve">Segregation </w:t>
            </w:r>
          </w:p>
          <w:p w14:paraId="7F65E9CF" w14:textId="3560F267" w:rsidR="005201E1" w:rsidRPr="006D61CB" w:rsidRDefault="00BB216C" w:rsidP="005201E1">
            <w:pPr>
              <w:rPr>
                <w:rFonts w:cstheme="minorHAnsi"/>
                <w:sz w:val="18"/>
                <w:szCs w:val="18"/>
              </w:rPr>
            </w:pPr>
            <w:r w:rsidRPr="006D61CB">
              <w:rPr>
                <w:rFonts w:cstheme="minorHAnsi"/>
                <w:sz w:val="18"/>
                <w:szCs w:val="18"/>
              </w:rPr>
              <w:t xml:space="preserve">Grandfather Clause </w:t>
            </w:r>
          </w:p>
          <w:p w14:paraId="63403A26" w14:textId="3D1B32D0" w:rsidR="00BB216C" w:rsidRPr="006D61CB" w:rsidRDefault="00BB216C" w:rsidP="005201E1">
            <w:pPr>
              <w:rPr>
                <w:rFonts w:cstheme="minorHAnsi"/>
                <w:sz w:val="18"/>
                <w:szCs w:val="18"/>
              </w:rPr>
            </w:pPr>
            <w:r w:rsidRPr="006D61CB">
              <w:rPr>
                <w:rFonts w:cstheme="minorHAnsi"/>
                <w:sz w:val="18"/>
                <w:szCs w:val="18"/>
              </w:rPr>
              <w:t xml:space="preserve">Poll Tax </w:t>
            </w:r>
          </w:p>
          <w:p w14:paraId="5779297B" w14:textId="5E0BFA00" w:rsidR="00BB216C" w:rsidRPr="006D61CB" w:rsidRDefault="00BB216C" w:rsidP="005201E1">
            <w:pPr>
              <w:rPr>
                <w:rFonts w:cstheme="minorHAnsi"/>
                <w:sz w:val="18"/>
                <w:szCs w:val="18"/>
              </w:rPr>
            </w:pPr>
            <w:r w:rsidRPr="006D61CB">
              <w:rPr>
                <w:rFonts w:cstheme="minorHAnsi"/>
                <w:sz w:val="18"/>
                <w:szCs w:val="18"/>
              </w:rPr>
              <w:t xml:space="preserve">Literacy Test </w:t>
            </w:r>
          </w:p>
          <w:p w14:paraId="0C82C52B" w14:textId="01CC5F1A" w:rsidR="00BB216C" w:rsidRPr="006D61CB" w:rsidRDefault="00BB216C" w:rsidP="005201E1">
            <w:pPr>
              <w:rPr>
                <w:rFonts w:cstheme="minorHAnsi"/>
                <w:sz w:val="18"/>
                <w:szCs w:val="18"/>
              </w:rPr>
            </w:pPr>
            <w:r w:rsidRPr="006D61CB">
              <w:rPr>
                <w:rFonts w:cstheme="minorHAnsi"/>
                <w:sz w:val="18"/>
                <w:szCs w:val="18"/>
              </w:rPr>
              <w:t xml:space="preserve">Lynching </w:t>
            </w:r>
          </w:p>
          <w:p w14:paraId="18690BAA" w14:textId="2F7A1FD6" w:rsidR="00BB216C" w:rsidRPr="006D61CB" w:rsidRDefault="00BB216C" w:rsidP="005201E1">
            <w:pPr>
              <w:rPr>
                <w:rFonts w:cstheme="minorHAnsi"/>
                <w:sz w:val="18"/>
                <w:szCs w:val="18"/>
              </w:rPr>
            </w:pPr>
            <w:r w:rsidRPr="006D61CB">
              <w:rPr>
                <w:rFonts w:cstheme="minorHAnsi"/>
                <w:sz w:val="18"/>
                <w:szCs w:val="18"/>
              </w:rPr>
              <w:t>1906 Atlanta Riot</w:t>
            </w:r>
          </w:p>
          <w:p w14:paraId="7B243060" w14:textId="3D70E6FD" w:rsidR="00BB216C" w:rsidRPr="006D61CB" w:rsidRDefault="00BB216C" w:rsidP="005201E1">
            <w:pPr>
              <w:rPr>
                <w:rFonts w:cstheme="minorHAnsi"/>
                <w:sz w:val="18"/>
                <w:szCs w:val="18"/>
              </w:rPr>
            </w:pPr>
            <w:r w:rsidRPr="006D61CB">
              <w:rPr>
                <w:rFonts w:cstheme="minorHAnsi"/>
                <w:sz w:val="18"/>
                <w:szCs w:val="18"/>
              </w:rPr>
              <w:t xml:space="preserve">Alonzo Herndon </w:t>
            </w:r>
          </w:p>
          <w:p w14:paraId="2F5A4F0E" w14:textId="717C6F31" w:rsidR="006D61CB" w:rsidRPr="006D61CB" w:rsidRDefault="006D61CB" w:rsidP="005201E1">
            <w:pPr>
              <w:rPr>
                <w:rFonts w:cstheme="minorHAnsi"/>
                <w:sz w:val="18"/>
                <w:szCs w:val="18"/>
              </w:rPr>
            </w:pPr>
            <w:r w:rsidRPr="006D61CB">
              <w:rPr>
                <w:rFonts w:cstheme="minorHAnsi"/>
                <w:sz w:val="18"/>
                <w:szCs w:val="18"/>
              </w:rPr>
              <w:t xml:space="preserve">Plessy v. Ferguson </w:t>
            </w:r>
          </w:p>
          <w:p w14:paraId="03C79FB1" w14:textId="77777777" w:rsidR="005201E1" w:rsidRPr="006D61CB" w:rsidRDefault="005201E1" w:rsidP="005201E1">
            <w:pPr>
              <w:rPr>
                <w:rFonts w:cstheme="minorHAnsi"/>
                <w:sz w:val="18"/>
                <w:szCs w:val="18"/>
              </w:rPr>
            </w:pPr>
          </w:p>
          <w:p w14:paraId="1C45F596" w14:textId="77777777" w:rsidR="005201E1" w:rsidRPr="006D61CB" w:rsidRDefault="005201E1" w:rsidP="005201E1">
            <w:pPr>
              <w:rPr>
                <w:rFonts w:cstheme="minorHAnsi"/>
                <w:sz w:val="18"/>
                <w:szCs w:val="18"/>
              </w:rPr>
            </w:pPr>
          </w:p>
          <w:p w14:paraId="42EB3C61" w14:textId="77777777" w:rsidR="005201E1" w:rsidRPr="006D61CB" w:rsidRDefault="005201E1" w:rsidP="005201E1">
            <w:pPr>
              <w:rPr>
                <w:rFonts w:cstheme="minorHAnsi"/>
                <w:sz w:val="18"/>
                <w:szCs w:val="18"/>
              </w:rPr>
            </w:pPr>
          </w:p>
        </w:tc>
      </w:tr>
      <w:tr w:rsidR="005201E1" w:rsidRPr="00201B06" w14:paraId="1FB20638" w14:textId="77777777" w:rsidTr="005201E1">
        <w:tc>
          <w:tcPr>
            <w:tcW w:w="4765" w:type="dxa"/>
            <w:gridSpan w:val="2"/>
            <w:shd w:val="clear" w:color="auto" w:fill="D9D9D9" w:themeFill="background1" w:themeFillShade="D9"/>
          </w:tcPr>
          <w:p w14:paraId="006D9007" w14:textId="77777777" w:rsidR="005201E1" w:rsidRPr="00201B06" w:rsidRDefault="005201E1" w:rsidP="005201E1">
            <w:pPr>
              <w:tabs>
                <w:tab w:val="left" w:pos="1050"/>
              </w:tabs>
              <w:jc w:val="center"/>
              <w:rPr>
                <w:rFonts w:cstheme="minorHAnsi"/>
                <w:b/>
              </w:rPr>
            </w:pPr>
            <w:r w:rsidRPr="00201B06">
              <w:rPr>
                <w:rFonts w:cstheme="minorHAnsi"/>
                <w:b/>
              </w:rPr>
              <w:t>Assessment—Exit Ticket Questions</w:t>
            </w:r>
          </w:p>
        </w:tc>
        <w:tc>
          <w:tcPr>
            <w:tcW w:w="4585" w:type="dxa"/>
            <w:gridSpan w:val="2"/>
            <w:shd w:val="clear" w:color="auto" w:fill="D9D9D9" w:themeFill="background1" w:themeFillShade="D9"/>
          </w:tcPr>
          <w:p w14:paraId="063AFABE" w14:textId="77777777" w:rsidR="005201E1" w:rsidRPr="00201B06" w:rsidRDefault="005201E1" w:rsidP="005201E1">
            <w:pPr>
              <w:jc w:val="center"/>
              <w:rPr>
                <w:rFonts w:cstheme="minorHAnsi"/>
                <w:b/>
              </w:rPr>
            </w:pPr>
            <w:r w:rsidRPr="00201B06">
              <w:rPr>
                <w:rFonts w:cstheme="minorHAnsi"/>
                <w:b/>
              </w:rPr>
              <w:t>Student Exemplar Responses to the Exit Ticket may include:</w:t>
            </w:r>
          </w:p>
        </w:tc>
      </w:tr>
      <w:tr w:rsidR="005201E1" w:rsidRPr="00201B06" w14:paraId="6FEB2A9D" w14:textId="77777777" w:rsidTr="005201E1">
        <w:tc>
          <w:tcPr>
            <w:tcW w:w="4765" w:type="dxa"/>
            <w:gridSpan w:val="2"/>
          </w:tcPr>
          <w:p w14:paraId="3303069C" w14:textId="101E6E2F" w:rsidR="005201E1" w:rsidRPr="00122EE1" w:rsidRDefault="00122EE1" w:rsidP="00122EE1">
            <w:pPr>
              <w:rPr>
                <w:rFonts w:cstheme="minorHAnsi"/>
                <w:sz w:val="18"/>
                <w:szCs w:val="18"/>
              </w:rPr>
            </w:pPr>
            <w:r>
              <w:rPr>
                <w:rFonts w:cstheme="minorHAnsi"/>
                <w:sz w:val="18"/>
                <w:szCs w:val="18"/>
              </w:rPr>
              <w:t xml:space="preserve">1. </w:t>
            </w:r>
            <w:r w:rsidR="00961972" w:rsidRPr="00122EE1">
              <w:rPr>
                <w:rFonts w:cstheme="minorHAnsi"/>
                <w:sz w:val="18"/>
                <w:szCs w:val="18"/>
              </w:rPr>
              <w:t xml:space="preserve">What is disenfranchisement? </w:t>
            </w:r>
          </w:p>
          <w:p w14:paraId="16AEBFEF" w14:textId="3695704A" w:rsidR="00961972" w:rsidRPr="00BA4B75" w:rsidRDefault="00961972" w:rsidP="00961972">
            <w:pPr>
              <w:pStyle w:val="ListParagraph"/>
              <w:numPr>
                <w:ilvl w:val="1"/>
                <w:numId w:val="1"/>
              </w:numPr>
              <w:rPr>
                <w:rFonts w:cstheme="minorHAnsi"/>
                <w:sz w:val="18"/>
                <w:szCs w:val="18"/>
              </w:rPr>
            </w:pPr>
            <w:r w:rsidRPr="00BA4B75">
              <w:rPr>
                <w:rFonts w:cstheme="minorHAnsi"/>
                <w:sz w:val="18"/>
                <w:szCs w:val="18"/>
              </w:rPr>
              <w:t>A form of racial violence.</w:t>
            </w:r>
          </w:p>
          <w:p w14:paraId="091EAAE6" w14:textId="77777777" w:rsidR="00961972" w:rsidRPr="00BA4B75" w:rsidRDefault="00961972" w:rsidP="00961972">
            <w:pPr>
              <w:pStyle w:val="ListParagraph"/>
              <w:numPr>
                <w:ilvl w:val="1"/>
                <w:numId w:val="1"/>
              </w:numPr>
              <w:rPr>
                <w:rFonts w:cstheme="minorHAnsi"/>
                <w:sz w:val="18"/>
                <w:szCs w:val="18"/>
              </w:rPr>
            </w:pPr>
            <w:r w:rsidRPr="00BA4B75">
              <w:rPr>
                <w:rFonts w:cstheme="minorHAnsi"/>
                <w:sz w:val="18"/>
                <w:szCs w:val="18"/>
              </w:rPr>
              <w:t>To deny a person the right to vote.</w:t>
            </w:r>
          </w:p>
          <w:p w14:paraId="381B6F23" w14:textId="77777777" w:rsidR="00961972" w:rsidRPr="00BA4B75" w:rsidRDefault="00961972" w:rsidP="00961972">
            <w:pPr>
              <w:pStyle w:val="ListParagraph"/>
              <w:numPr>
                <w:ilvl w:val="1"/>
                <w:numId w:val="1"/>
              </w:numPr>
              <w:rPr>
                <w:rFonts w:cstheme="minorHAnsi"/>
                <w:sz w:val="18"/>
                <w:szCs w:val="18"/>
              </w:rPr>
            </w:pPr>
            <w:r w:rsidRPr="00BA4B75">
              <w:rPr>
                <w:rFonts w:cstheme="minorHAnsi"/>
                <w:sz w:val="18"/>
                <w:szCs w:val="18"/>
              </w:rPr>
              <w:t xml:space="preserve">State and local laws that enforced segregation. </w:t>
            </w:r>
          </w:p>
          <w:p w14:paraId="4E6E14B3" w14:textId="1F480E9E" w:rsidR="00122EE1" w:rsidRPr="00122EE1" w:rsidRDefault="00961972" w:rsidP="00122EE1">
            <w:pPr>
              <w:pStyle w:val="ListParagraph"/>
              <w:numPr>
                <w:ilvl w:val="1"/>
                <w:numId w:val="1"/>
              </w:numPr>
              <w:rPr>
                <w:rFonts w:cstheme="minorHAnsi"/>
                <w:sz w:val="18"/>
                <w:szCs w:val="18"/>
              </w:rPr>
            </w:pPr>
            <w:r w:rsidRPr="00BA4B75">
              <w:rPr>
                <w:rFonts w:cstheme="minorHAnsi"/>
                <w:sz w:val="18"/>
                <w:szCs w:val="18"/>
              </w:rPr>
              <w:t xml:space="preserve">Henry Grady’s economic vision for the South. </w:t>
            </w:r>
          </w:p>
          <w:p w14:paraId="3C600CAA" w14:textId="3508DB79" w:rsidR="00961972" w:rsidRPr="00122EE1" w:rsidRDefault="00122EE1" w:rsidP="00122EE1">
            <w:pPr>
              <w:rPr>
                <w:rFonts w:cstheme="minorHAnsi"/>
                <w:sz w:val="18"/>
                <w:szCs w:val="18"/>
              </w:rPr>
            </w:pPr>
            <w:r>
              <w:rPr>
                <w:rFonts w:cstheme="minorHAnsi"/>
                <w:sz w:val="18"/>
                <w:szCs w:val="18"/>
              </w:rPr>
              <w:t xml:space="preserve">2. </w:t>
            </w:r>
            <w:r w:rsidR="00BA4B75" w:rsidRPr="00122EE1">
              <w:rPr>
                <w:rFonts w:cstheme="minorHAnsi"/>
                <w:sz w:val="18"/>
                <w:szCs w:val="18"/>
              </w:rPr>
              <w:t>Select ALL that apply. Which of these are economic, social, or political changes during the New South Era?</w:t>
            </w:r>
          </w:p>
          <w:p w14:paraId="71A00B99" w14:textId="270255B8" w:rsidR="00BA4B75" w:rsidRDefault="00BA4B75" w:rsidP="00122EE1">
            <w:pPr>
              <w:pStyle w:val="ListParagraph"/>
              <w:numPr>
                <w:ilvl w:val="0"/>
                <w:numId w:val="5"/>
              </w:numPr>
              <w:rPr>
                <w:rFonts w:cstheme="minorHAnsi"/>
                <w:sz w:val="18"/>
                <w:szCs w:val="18"/>
              </w:rPr>
            </w:pPr>
            <w:r>
              <w:rPr>
                <w:rFonts w:cstheme="minorHAnsi"/>
                <w:sz w:val="18"/>
                <w:szCs w:val="18"/>
              </w:rPr>
              <w:t xml:space="preserve">An increase of tobacco factories and textile mills in the South. </w:t>
            </w:r>
          </w:p>
          <w:p w14:paraId="2ABC8773" w14:textId="4B41C74E" w:rsidR="00BA4B75" w:rsidRDefault="00BA4B75" w:rsidP="00122EE1">
            <w:pPr>
              <w:pStyle w:val="ListParagraph"/>
              <w:numPr>
                <w:ilvl w:val="0"/>
                <w:numId w:val="5"/>
              </w:numPr>
              <w:rPr>
                <w:rFonts w:cstheme="minorHAnsi"/>
                <w:sz w:val="18"/>
                <w:szCs w:val="18"/>
              </w:rPr>
            </w:pPr>
            <w:r>
              <w:rPr>
                <w:rFonts w:cstheme="minorHAnsi"/>
                <w:sz w:val="18"/>
                <w:szCs w:val="18"/>
              </w:rPr>
              <w:t xml:space="preserve">A decline in economic competition from African Americans. </w:t>
            </w:r>
          </w:p>
          <w:p w14:paraId="3587CA16" w14:textId="40135FA9" w:rsidR="00BA4B75" w:rsidRDefault="00BA4B75" w:rsidP="00122EE1">
            <w:pPr>
              <w:pStyle w:val="ListParagraph"/>
              <w:numPr>
                <w:ilvl w:val="0"/>
                <w:numId w:val="5"/>
              </w:numPr>
              <w:rPr>
                <w:rFonts w:cstheme="minorHAnsi"/>
                <w:sz w:val="18"/>
                <w:szCs w:val="18"/>
              </w:rPr>
            </w:pPr>
            <w:r>
              <w:rPr>
                <w:rFonts w:cstheme="minorHAnsi"/>
                <w:sz w:val="18"/>
                <w:szCs w:val="18"/>
              </w:rPr>
              <w:t>More rights extended to African Americans.</w:t>
            </w:r>
          </w:p>
          <w:p w14:paraId="4249AF7C" w14:textId="1B890118" w:rsidR="00BA4B75" w:rsidRDefault="00BA4B75" w:rsidP="00122EE1">
            <w:pPr>
              <w:pStyle w:val="ListParagraph"/>
              <w:numPr>
                <w:ilvl w:val="0"/>
                <w:numId w:val="5"/>
              </w:numPr>
              <w:rPr>
                <w:rFonts w:cstheme="minorHAnsi"/>
                <w:sz w:val="18"/>
                <w:szCs w:val="18"/>
              </w:rPr>
            </w:pPr>
            <w:r>
              <w:rPr>
                <w:rFonts w:cstheme="minorHAnsi"/>
                <w:sz w:val="18"/>
                <w:szCs w:val="18"/>
              </w:rPr>
              <w:t xml:space="preserve">An increase in economic competition from African Americans. </w:t>
            </w:r>
          </w:p>
          <w:p w14:paraId="7A98D9AC" w14:textId="1A855F1B" w:rsidR="00122EE1" w:rsidRPr="00122EE1" w:rsidRDefault="00BA4B75" w:rsidP="00122EE1">
            <w:pPr>
              <w:pStyle w:val="ListParagraph"/>
              <w:numPr>
                <w:ilvl w:val="0"/>
                <w:numId w:val="5"/>
              </w:numPr>
              <w:rPr>
                <w:rFonts w:cstheme="minorHAnsi"/>
                <w:sz w:val="18"/>
                <w:szCs w:val="18"/>
              </w:rPr>
            </w:pPr>
            <w:r>
              <w:rPr>
                <w:rFonts w:cstheme="minorHAnsi"/>
                <w:sz w:val="18"/>
                <w:szCs w:val="18"/>
              </w:rPr>
              <w:t>A decrease in the measures used to stop African Americans from voting.</w:t>
            </w:r>
          </w:p>
          <w:p w14:paraId="5B85F92D" w14:textId="6AA09E70" w:rsidR="005201E1" w:rsidRPr="00122EE1" w:rsidRDefault="00122EE1" w:rsidP="00122EE1">
            <w:pPr>
              <w:rPr>
                <w:rFonts w:cstheme="minorHAnsi"/>
                <w:sz w:val="18"/>
                <w:szCs w:val="18"/>
              </w:rPr>
            </w:pPr>
            <w:r>
              <w:rPr>
                <w:rFonts w:cstheme="minorHAnsi"/>
                <w:sz w:val="18"/>
                <w:szCs w:val="18"/>
              </w:rPr>
              <w:t xml:space="preserve">3. </w:t>
            </w:r>
            <w:r w:rsidR="00BA4B75" w:rsidRPr="00122EE1">
              <w:rPr>
                <w:rFonts w:cstheme="minorHAnsi"/>
                <w:sz w:val="18"/>
                <w:szCs w:val="18"/>
              </w:rPr>
              <w:t xml:space="preserve">Describe the methods used during the New South Era to deny African Americans their constitutional rights. Provide specific examples. </w:t>
            </w:r>
          </w:p>
        </w:tc>
        <w:tc>
          <w:tcPr>
            <w:tcW w:w="4585" w:type="dxa"/>
            <w:gridSpan w:val="2"/>
          </w:tcPr>
          <w:p w14:paraId="4C610AC7" w14:textId="6A12B466" w:rsidR="005201E1" w:rsidRDefault="00BA4B75" w:rsidP="005201E1">
            <w:pPr>
              <w:rPr>
                <w:rFonts w:cstheme="minorHAnsi"/>
                <w:sz w:val="18"/>
                <w:szCs w:val="18"/>
              </w:rPr>
            </w:pPr>
            <w:r w:rsidRPr="00790A72">
              <w:rPr>
                <w:rFonts w:cstheme="minorHAnsi"/>
                <w:sz w:val="18"/>
                <w:szCs w:val="18"/>
              </w:rPr>
              <w:t xml:space="preserve">1. B </w:t>
            </w:r>
          </w:p>
          <w:p w14:paraId="6A9FAC0E" w14:textId="77777777" w:rsidR="00122EE1" w:rsidRPr="00790A72" w:rsidRDefault="00122EE1" w:rsidP="005201E1">
            <w:pPr>
              <w:rPr>
                <w:rFonts w:cstheme="minorHAnsi"/>
                <w:sz w:val="18"/>
                <w:szCs w:val="18"/>
              </w:rPr>
            </w:pPr>
          </w:p>
          <w:p w14:paraId="39E701F9" w14:textId="0A9890B9" w:rsidR="00BA4B75" w:rsidRDefault="00BA4B75" w:rsidP="005201E1">
            <w:pPr>
              <w:rPr>
                <w:rFonts w:cstheme="minorHAnsi"/>
                <w:sz w:val="18"/>
                <w:szCs w:val="18"/>
              </w:rPr>
            </w:pPr>
            <w:r w:rsidRPr="00790A72">
              <w:rPr>
                <w:rFonts w:cstheme="minorHAnsi"/>
                <w:sz w:val="18"/>
                <w:szCs w:val="18"/>
              </w:rPr>
              <w:t xml:space="preserve">2. A and D. </w:t>
            </w:r>
          </w:p>
          <w:p w14:paraId="19F4B172" w14:textId="77777777" w:rsidR="00122EE1" w:rsidRPr="00790A72" w:rsidRDefault="00122EE1" w:rsidP="005201E1">
            <w:pPr>
              <w:rPr>
                <w:rFonts w:cstheme="minorHAnsi"/>
                <w:sz w:val="18"/>
                <w:szCs w:val="18"/>
              </w:rPr>
            </w:pPr>
          </w:p>
          <w:p w14:paraId="61FADC88" w14:textId="2A657740" w:rsidR="005201E1" w:rsidRPr="00122EE1" w:rsidRDefault="00BA4B75" w:rsidP="005201E1">
            <w:pPr>
              <w:rPr>
                <w:rFonts w:cstheme="minorHAnsi"/>
                <w:sz w:val="18"/>
                <w:szCs w:val="18"/>
              </w:rPr>
            </w:pPr>
            <w:r w:rsidRPr="00790A72">
              <w:rPr>
                <w:rFonts w:cstheme="minorHAnsi"/>
                <w:sz w:val="18"/>
                <w:szCs w:val="18"/>
              </w:rPr>
              <w:t>3. African Americans’ rights were denied during the New South Era using several different methods. White supremacists were growing uncomfortable with the increased economic</w:t>
            </w:r>
            <w:r w:rsidR="00790A72">
              <w:rPr>
                <w:rFonts w:cstheme="minorHAnsi"/>
                <w:sz w:val="18"/>
                <w:szCs w:val="18"/>
              </w:rPr>
              <w:t xml:space="preserve"> and political</w:t>
            </w:r>
            <w:r w:rsidRPr="00790A72">
              <w:rPr>
                <w:rFonts w:cstheme="minorHAnsi"/>
                <w:sz w:val="18"/>
                <w:szCs w:val="18"/>
              </w:rPr>
              <w:t xml:space="preserve"> competition </w:t>
            </w:r>
            <w:r w:rsidR="006D61CB" w:rsidRPr="00790A72">
              <w:rPr>
                <w:rFonts w:cstheme="minorHAnsi"/>
                <w:sz w:val="18"/>
                <w:szCs w:val="18"/>
              </w:rPr>
              <w:t>from African Americans. As a result, local white communities actively disenfranchised black voters by utilizing racial violence to scare them from using their political rights. Although they could vote, African Americans avoided the polls in fear of being targeted by</w:t>
            </w:r>
            <w:r w:rsidR="00790A72">
              <w:rPr>
                <w:rFonts w:cstheme="minorHAnsi"/>
                <w:sz w:val="18"/>
                <w:szCs w:val="18"/>
              </w:rPr>
              <w:t xml:space="preserve"> racial</w:t>
            </w:r>
            <w:r w:rsidR="006D61CB" w:rsidRPr="00790A72">
              <w:rPr>
                <w:rFonts w:cstheme="minorHAnsi"/>
                <w:sz w:val="18"/>
                <w:szCs w:val="18"/>
              </w:rPr>
              <w:t xml:space="preserve"> violence. Furthermore, if blacks did have the courage to vote many would have to overcome other obstacles such as poll taxes or lite</w:t>
            </w:r>
            <w:r w:rsidR="00790A72">
              <w:rPr>
                <w:rFonts w:cstheme="minorHAnsi"/>
                <w:sz w:val="18"/>
                <w:szCs w:val="18"/>
              </w:rPr>
              <w:t>racy tests</w:t>
            </w:r>
            <w:r w:rsidR="006D61CB" w:rsidRPr="00790A72">
              <w:rPr>
                <w:rFonts w:cstheme="minorHAnsi"/>
                <w:sz w:val="18"/>
                <w:szCs w:val="18"/>
              </w:rPr>
              <w:t>.</w:t>
            </w:r>
            <w:r w:rsidR="00790A72">
              <w:rPr>
                <w:rFonts w:cstheme="minorHAnsi"/>
                <w:sz w:val="18"/>
                <w:szCs w:val="18"/>
              </w:rPr>
              <w:t xml:space="preserve"> This way blacks found it difficult to understand the tests or even afford to vote. </w:t>
            </w:r>
            <w:r w:rsidR="006D61CB" w:rsidRPr="00790A72">
              <w:rPr>
                <w:rFonts w:cstheme="minorHAnsi"/>
                <w:sz w:val="18"/>
                <w:szCs w:val="18"/>
              </w:rPr>
              <w:t>Additionally, state and local laws supported the denial of African Americans’ rights by passing Jim Crow Laws. These laws enforced segregation b</w:t>
            </w:r>
            <w:r w:rsidR="00790A72" w:rsidRPr="00790A72">
              <w:rPr>
                <w:rFonts w:cstheme="minorHAnsi"/>
                <w:sz w:val="18"/>
                <w:szCs w:val="18"/>
              </w:rPr>
              <w:t xml:space="preserve">y requiring </w:t>
            </w:r>
            <w:r w:rsidR="00790A72">
              <w:rPr>
                <w:rFonts w:cstheme="minorHAnsi"/>
                <w:sz w:val="18"/>
                <w:szCs w:val="18"/>
              </w:rPr>
              <w:t xml:space="preserve">the </w:t>
            </w:r>
            <w:r w:rsidR="00790A72" w:rsidRPr="00790A72">
              <w:rPr>
                <w:rFonts w:cstheme="minorHAnsi"/>
                <w:sz w:val="18"/>
                <w:szCs w:val="18"/>
              </w:rPr>
              <w:t xml:space="preserve">separation of races. This method prevented African Americans from exercising their social power as well. </w:t>
            </w:r>
          </w:p>
        </w:tc>
      </w:tr>
    </w:tbl>
    <w:p w14:paraId="050C4E9C" w14:textId="42B61A65" w:rsidR="000D5917" w:rsidRPr="00201B06" w:rsidRDefault="000D5917" w:rsidP="005201E1">
      <w:pPr>
        <w:pStyle w:val="NoSpacing"/>
        <w:rPr>
          <w:rFonts w:cstheme="minorHAnsi"/>
          <w:b/>
        </w:rPr>
      </w:pPr>
    </w:p>
    <w:p w14:paraId="6CCD3712" w14:textId="62681B12" w:rsidR="000D5917" w:rsidRPr="00201B06" w:rsidRDefault="000D5917" w:rsidP="00201B06">
      <w:pPr>
        <w:pStyle w:val="NoSpacing"/>
        <w:rPr>
          <w:rFonts w:cstheme="minorHAnsi"/>
          <w:b/>
        </w:rPr>
      </w:pPr>
    </w:p>
    <w:tbl>
      <w:tblPr>
        <w:tblStyle w:val="TableGrid"/>
        <w:tblW w:w="0" w:type="auto"/>
        <w:tblLook w:val="04A0" w:firstRow="1" w:lastRow="0" w:firstColumn="1" w:lastColumn="0" w:noHBand="0" w:noVBand="1"/>
      </w:tblPr>
      <w:tblGrid>
        <w:gridCol w:w="9350"/>
      </w:tblGrid>
      <w:tr w:rsidR="00201B06" w:rsidRPr="00201B06" w14:paraId="2A5DE7E6" w14:textId="77777777" w:rsidTr="00DE1D67">
        <w:tc>
          <w:tcPr>
            <w:tcW w:w="9350" w:type="dxa"/>
            <w:shd w:val="clear" w:color="auto" w:fill="D9D9D9" w:themeFill="background1" w:themeFillShade="D9"/>
          </w:tcPr>
          <w:p w14:paraId="290E72FC" w14:textId="77777777" w:rsidR="00201B06" w:rsidRPr="00201B06" w:rsidRDefault="00201B06" w:rsidP="00DE1D67">
            <w:pPr>
              <w:pStyle w:val="NoSpacing"/>
              <w:rPr>
                <w:rFonts w:cstheme="minorHAnsi"/>
                <w:b/>
              </w:rPr>
            </w:pPr>
            <w:r w:rsidRPr="00201B06">
              <w:rPr>
                <w:rFonts w:cstheme="minorHAnsi"/>
                <w:b/>
              </w:rPr>
              <w:t xml:space="preserve">Teacher Notes </w:t>
            </w:r>
          </w:p>
        </w:tc>
      </w:tr>
      <w:tr w:rsidR="00201B06" w:rsidRPr="00201B06" w14:paraId="6FE2D405" w14:textId="77777777" w:rsidTr="00DE1D67">
        <w:tc>
          <w:tcPr>
            <w:tcW w:w="9350" w:type="dxa"/>
          </w:tcPr>
          <w:p w14:paraId="3D9DA298" w14:textId="637367A6" w:rsidR="005201E1" w:rsidRPr="002F1EA5" w:rsidRDefault="005201E1" w:rsidP="005201E1">
            <w:pPr>
              <w:pStyle w:val="NoSpacing"/>
              <w:rPr>
                <w:rFonts w:cstheme="minorHAnsi"/>
                <w:i/>
                <w:sz w:val="18"/>
                <w:szCs w:val="18"/>
              </w:rPr>
            </w:pPr>
          </w:p>
          <w:p w14:paraId="04D68D01" w14:textId="70C181D0" w:rsidR="001C3A7D" w:rsidRPr="002F1EA5" w:rsidRDefault="00D21109" w:rsidP="005201E1">
            <w:pPr>
              <w:pStyle w:val="NoSpacing"/>
              <w:rPr>
                <w:rFonts w:cstheme="minorHAnsi"/>
                <w:sz w:val="18"/>
                <w:szCs w:val="18"/>
              </w:rPr>
            </w:pPr>
            <w:r w:rsidRPr="002F1EA5">
              <w:rPr>
                <w:rFonts w:cstheme="minorHAnsi"/>
                <w:sz w:val="18"/>
                <w:szCs w:val="18"/>
              </w:rPr>
              <w:t xml:space="preserve">This lesson is intended to provide a realistic snapshot of the South after the end of the Civil War. The South suffered economically because the region had to redesign </w:t>
            </w:r>
            <w:r w:rsidR="00B41561" w:rsidRPr="002F1EA5">
              <w:rPr>
                <w:rFonts w:cstheme="minorHAnsi"/>
                <w:sz w:val="18"/>
                <w:szCs w:val="18"/>
              </w:rPr>
              <w:t xml:space="preserve">its core economic underpinning </w:t>
            </w:r>
            <w:r w:rsidRPr="002F1EA5">
              <w:rPr>
                <w:rFonts w:cstheme="minorHAnsi"/>
                <w:sz w:val="18"/>
                <w:szCs w:val="18"/>
              </w:rPr>
              <w:t xml:space="preserve">in order to survive the aftermath of the war. Although the region’s economy </w:t>
            </w:r>
            <w:r w:rsidR="00B41561" w:rsidRPr="002F1EA5">
              <w:rPr>
                <w:rFonts w:cstheme="minorHAnsi"/>
                <w:sz w:val="18"/>
                <w:szCs w:val="18"/>
              </w:rPr>
              <w:t>was primarily agrarian</w:t>
            </w:r>
            <w:r w:rsidRPr="002F1EA5">
              <w:rPr>
                <w:rFonts w:cstheme="minorHAnsi"/>
                <w:sz w:val="18"/>
                <w:szCs w:val="18"/>
              </w:rPr>
              <w:t>, Henry Grady and others knew that the South had to keep up with the growing effects of the Industrial Revol</w:t>
            </w:r>
            <w:r w:rsidR="00B41561" w:rsidRPr="002F1EA5">
              <w:rPr>
                <w:rFonts w:cstheme="minorHAnsi"/>
                <w:sz w:val="18"/>
                <w:szCs w:val="18"/>
              </w:rPr>
              <w:t>ution. Thus, Grady suggested a</w:t>
            </w:r>
            <w:r w:rsidRPr="002F1EA5">
              <w:rPr>
                <w:rFonts w:cstheme="minorHAnsi"/>
                <w:sz w:val="18"/>
                <w:szCs w:val="18"/>
              </w:rPr>
              <w:t xml:space="preserve"> new economic vision for the South </w:t>
            </w:r>
            <w:r w:rsidR="001C3A7D" w:rsidRPr="002F1EA5">
              <w:rPr>
                <w:rFonts w:cstheme="minorHAnsi"/>
                <w:sz w:val="18"/>
                <w:szCs w:val="18"/>
              </w:rPr>
              <w:t xml:space="preserve">to introduce more manufacturing </w:t>
            </w:r>
            <w:r w:rsidR="00B41561" w:rsidRPr="002F1EA5">
              <w:rPr>
                <w:rFonts w:cstheme="minorHAnsi"/>
                <w:sz w:val="18"/>
                <w:szCs w:val="18"/>
              </w:rPr>
              <w:t>by building more factories and investing in commerce</w:t>
            </w:r>
            <w:r w:rsidR="001C3A7D" w:rsidRPr="002F1EA5">
              <w:rPr>
                <w:rFonts w:cstheme="minorHAnsi"/>
                <w:sz w:val="18"/>
                <w:szCs w:val="18"/>
              </w:rPr>
              <w:t xml:space="preserve">. </w:t>
            </w:r>
            <w:r w:rsidR="00B41561" w:rsidRPr="002F1EA5">
              <w:rPr>
                <w:rFonts w:cstheme="minorHAnsi"/>
                <w:sz w:val="18"/>
                <w:szCs w:val="18"/>
              </w:rPr>
              <w:t xml:space="preserve">The “New South,” ultimately, </w:t>
            </w:r>
            <w:r w:rsidR="001C3A7D" w:rsidRPr="002F1EA5">
              <w:rPr>
                <w:rFonts w:cstheme="minorHAnsi"/>
                <w:sz w:val="18"/>
                <w:szCs w:val="18"/>
              </w:rPr>
              <w:t>would change</w:t>
            </w:r>
            <w:r w:rsidR="00B41561" w:rsidRPr="002F1EA5">
              <w:rPr>
                <w:rFonts w:cstheme="minorHAnsi"/>
                <w:sz w:val="18"/>
                <w:szCs w:val="18"/>
              </w:rPr>
              <w:t xml:space="preserve"> very little</w:t>
            </w:r>
            <w:r w:rsidR="001C3A7D" w:rsidRPr="002F1EA5">
              <w:rPr>
                <w:rFonts w:cstheme="minorHAnsi"/>
                <w:sz w:val="18"/>
                <w:szCs w:val="18"/>
              </w:rPr>
              <w:t xml:space="preserve"> for the South’s economy</w:t>
            </w:r>
            <w:r w:rsidR="00B41561" w:rsidRPr="002F1EA5">
              <w:rPr>
                <w:rFonts w:cstheme="minorHAnsi"/>
                <w:sz w:val="18"/>
                <w:szCs w:val="18"/>
              </w:rPr>
              <w:t>,</w:t>
            </w:r>
            <w:r w:rsidR="001C3A7D" w:rsidRPr="002F1EA5">
              <w:rPr>
                <w:rFonts w:cstheme="minorHAnsi"/>
                <w:sz w:val="18"/>
                <w:szCs w:val="18"/>
              </w:rPr>
              <w:t xml:space="preserve"> but they could boast a slight increase in factories and mills that would</w:t>
            </w:r>
            <w:r w:rsidR="00B41561" w:rsidRPr="002F1EA5">
              <w:rPr>
                <w:rFonts w:cstheme="minorHAnsi"/>
                <w:sz w:val="18"/>
                <w:szCs w:val="18"/>
              </w:rPr>
              <w:t xml:space="preserve"> eventually</w:t>
            </w:r>
            <w:r w:rsidR="001C3A7D" w:rsidRPr="002F1EA5">
              <w:rPr>
                <w:rFonts w:cstheme="minorHAnsi"/>
                <w:sz w:val="18"/>
                <w:szCs w:val="18"/>
              </w:rPr>
              <w:t xml:space="preserve"> begin the long road to diversify their market. </w:t>
            </w:r>
          </w:p>
          <w:p w14:paraId="3CB5729D" w14:textId="77777777" w:rsidR="001C3A7D" w:rsidRPr="002F1EA5" w:rsidRDefault="001C3A7D" w:rsidP="005201E1">
            <w:pPr>
              <w:pStyle w:val="NoSpacing"/>
              <w:rPr>
                <w:rFonts w:cstheme="minorHAnsi"/>
                <w:sz w:val="18"/>
                <w:szCs w:val="18"/>
              </w:rPr>
            </w:pPr>
          </w:p>
          <w:p w14:paraId="5D5C419D" w14:textId="2EEB181D" w:rsidR="005201E1" w:rsidRPr="002F1EA5" w:rsidRDefault="00B41561" w:rsidP="005201E1">
            <w:pPr>
              <w:pStyle w:val="NoSpacing"/>
              <w:rPr>
                <w:rFonts w:cstheme="minorHAnsi"/>
                <w:sz w:val="18"/>
                <w:szCs w:val="18"/>
              </w:rPr>
            </w:pPr>
            <w:r w:rsidRPr="002F1EA5">
              <w:rPr>
                <w:rFonts w:cstheme="minorHAnsi"/>
                <w:sz w:val="18"/>
                <w:szCs w:val="18"/>
              </w:rPr>
              <w:t xml:space="preserve">More importantly, </w:t>
            </w:r>
            <w:r w:rsidR="001C3A7D" w:rsidRPr="002F1EA5">
              <w:rPr>
                <w:rFonts w:cstheme="minorHAnsi"/>
                <w:sz w:val="18"/>
                <w:szCs w:val="18"/>
              </w:rPr>
              <w:t>South</w:t>
            </w:r>
            <w:r w:rsidRPr="002F1EA5">
              <w:rPr>
                <w:rFonts w:cstheme="minorHAnsi"/>
                <w:sz w:val="18"/>
                <w:szCs w:val="18"/>
              </w:rPr>
              <w:t>ern</w:t>
            </w:r>
            <w:r w:rsidR="001C3A7D" w:rsidRPr="002F1EA5">
              <w:rPr>
                <w:rFonts w:cstheme="minorHAnsi"/>
                <w:sz w:val="18"/>
                <w:szCs w:val="18"/>
              </w:rPr>
              <w:t xml:space="preserve"> people had to deal with these changes. The antebellum South left a bitter legacy that was very difficult to overcome. Although African Americans were </w:t>
            </w:r>
            <w:proofErr w:type="spellStart"/>
            <w:proofErr w:type="gramStart"/>
            <w:r w:rsidR="001C3A7D" w:rsidRPr="002F1EA5">
              <w:rPr>
                <w:rFonts w:cstheme="minorHAnsi"/>
                <w:sz w:val="18"/>
                <w:szCs w:val="18"/>
              </w:rPr>
              <w:t>suppose</w:t>
            </w:r>
            <w:proofErr w:type="gramEnd"/>
            <w:r w:rsidR="001C3A7D" w:rsidRPr="002F1EA5">
              <w:rPr>
                <w:rFonts w:cstheme="minorHAnsi"/>
                <w:sz w:val="18"/>
                <w:szCs w:val="18"/>
              </w:rPr>
              <w:t xml:space="preserve"> to</w:t>
            </w:r>
            <w:proofErr w:type="spellEnd"/>
            <w:r w:rsidR="001C3A7D" w:rsidRPr="002F1EA5">
              <w:rPr>
                <w:rFonts w:cstheme="minorHAnsi"/>
                <w:sz w:val="18"/>
                <w:szCs w:val="18"/>
              </w:rPr>
              <w:t xml:space="preserve"> be enjoying the fruits of the </w:t>
            </w:r>
            <w:r w:rsidR="00D21109" w:rsidRPr="002F1EA5">
              <w:rPr>
                <w:rFonts w:cstheme="minorHAnsi"/>
                <w:sz w:val="18"/>
                <w:szCs w:val="18"/>
              </w:rPr>
              <w:t>14</w:t>
            </w:r>
            <w:r w:rsidR="00D21109" w:rsidRPr="002F1EA5">
              <w:rPr>
                <w:rFonts w:cstheme="minorHAnsi"/>
                <w:sz w:val="18"/>
                <w:szCs w:val="18"/>
                <w:vertAlign w:val="superscript"/>
              </w:rPr>
              <w:t>th</w:t>
            </w:r>
            <w:r w:rsidR="00D21109" w:rsidRPr="002F1EA5">
              <w:rPr>
                <w:rFonts w:cstheme="minorHAnsi"/>
                <w:sz w:val="18"/>
                <w:szCs w:val="18"/>
              </w:rPr>
              <w:t xml:space="preserve"> and 15</w:t>
            </w:r>
            <w:r w:rsidR="00D21109" w:rsidRPr="002F1EA5">
              <w:rPr>
                <w:rFonts w:cstheme="minorHAnsi"/>
                <w:sz w:val="18"/>
                <w:szCs w:val="18"/>
                <w:vertAlign w:val="superscript"/>
              </w:rPr>
              <w:t>th</w:t>
            </w:r>
            <w:r w:rsidR="001C3A7D" w:rsidRPr="002F1EA5">
              <w:rPr>
                <w:rFonts w:cstheme="minorHAnsi"/>
                <w:sz w:val="18"/>
                <w:szCs w:val="18"/>
              </w:rPr>
              <w:t xml:space="preserve"> amendments, white supremacists worked tirelessly to reverse the gains of the war. Groups such as the Ku Klux Klan utilized several tactics to hinder African Americans’ economic, political, and social rights. These tactics include the grandfather clause, poll tax, literacy test, lynching, and riots. Furthermore, state and local governments</w:t>
            </w:r>
            <w:r w:rsidRPr="002F1EA5">
              <w:rPr>
                <w:rFonts w:cstheme="minorHAnsi"/>
                <w:sz w:val="18"/>
                <w:szCs w:val="18"/>
              </w:rPr>
              <w:t xml:space="preserve"> also</w:t>
            </w:r>
            <w:r w:rsidR="001C3A7D" w:rsidRPr="002F1EA5">
              <w:rPr>
                <w:rFonts w:cstheme="minorHAnsi"/>
                <w:sz w:val="18"/>
                <w:szCs w:val="18"/>
              </w:rPr>
              <w:t xml:space="preserve"> supported these measures by passing Jim Crow Laws that allowed segregation in order to maintain the status quo. </w:t>
            </w:r>
          </w:p>
          <w:p w14:paraId="79FAB62E" w14:textId="222C0A69" w:rsidR="001C3A7D" w:rsidRPr="002F1EA5" w:rsidRDefault="001C3A7D" w:rsidP="005201E1">
            <w:pPr>
              <w:pStyle w:val="NoSpacing"/>
              <w:rPr>
                <w:rFonts w:cstheme="minorHAnsi"/>
                <w:sz w:val="18"/>
                <w:szCs w:val="18"/>
              </w:rPr>
            </w:pPr>
          </w:p>
          <w:p w14:paraId="0E980FD3" w14:textId="3C3949F0" w:rsidR="001C3A7D" w:rsidRPr="002F1EA5" w:rsidRDefault="001C3A7D" w:rsidP="005201E1">
            <w:pPr>
              <w:pStyle w:val="NoSpacing"/>
              <w:rPr>
                <w:rFonts w:cstheme="minorHAnsi"/>
                <w:sz w:val="18"/>
                <w:szCs w:val="18"/>
              </w:rPr>
            </w:pPr>
            <w:r w:rsidRPr="002F1EA5">
              <w:rPr>
                <w:rFonts w:cstheme="minorHAnsi"/>
                <w:sz w:val="18"/>
                <w:szCs w:val="18"/>
              </w:rPr>
              <w:t xml:space="preserve">These </w:t>
            </w:r>
            <w:r w:rsidR="005B480F" w:rsidRPr="002F1EA5">
              <w:rPr>
                <w:rFonts w:cstheme="minorHAnsi"/>
                <w:sz w:val="18"/>
                <w:szCs w:val="18"/>
              </w:rPr>
              <w:t>tactics</w:t>
            </w:r>
            <w:r w:rsidRPr="002F1EA5">
              <w:rPr>
                <w:rFonts w:cstheme="minorHAnsi"/>
                <w:sz w:val="18"/>
                <w:szCs w:val="18"/>
              </w:rPr>
              <w:t xml:space="preserve"> </w:t>
            </w:r>
            <w:r w:rsidR="005B480F" w:rsidRPr="002F1EA5">
              <w:rPr>
                <w:rFonts w:cstheme="minorHAnsi"/>
                <w:sz w:val="18"/>
                <w:szCs w:val="18"/>
              </w:rPr>
              <w:t xml:space="preserve">are a fascinating introduction into the Great Depression from </w:t>
            </w:r>
            <w:r w:rsidR="00B41561" w:rsidRPr="002F1EA5">
              <w:rPr>
                <w:rFonts w:cstheme="minorHAnsi"/>
                <w:sz w:val="18"/>
                <w:szCs w:val="18"/>
              </w:rPr>
              <w:t>a</w:t>
            </w:r>
            <w:r w:rsidR="005B480F" w:rsidRPr="002F1EA5">
              <w:rPr>
                <w:rFonts w:cstheme="minorHAnsi"/>
                <w:sz w:val="18"/>
                <w:szCs w:val="18"/>
              </w:rPr>
              <w:t xml:space="preserve"> unique perspective. Many of the tactics white supremacists and governments used would eventually undermine the economic security of the entire country. If African Americans’ businesses were not attacked during riots and allowed to thrive</w:t>
            </w:r>
            <w:r w:rsidR="00B41561" w:rsidRPr="002F1EA5">
              <w:rPr>
                <w:rFonts w:cstheme="minorHAnsi"/>
                <w:sz w:val="18"/>
                <w:szCs w:val="18"/>
              </w:rPr>
              <w:t>, the South might have recovered from the Civil War’s economic transition.</w:t>
            </w:r>
            <w:r w:rsidR="005B480F" w:rsidRPr="002F1EA5">
              <w:rPr>
                <w:rFonts w:cstheme="minorHAnsi"/>
                <w:sz w:val="18"/>
                <w:szCs w:val="18"/>
              </w:rPr>
              <w:t xml:space="preserve"> </w:t>
            </w:r>
            <w:r w:rsidR="00B41561" w:rsidRPr="002F1EA5">
              <w:rPr>
                <w:rFonts w:cstheme="minorHAnsi"/>
                <w:sz w:val="18"/>
                <w:szCs w:val="18"/>
              </w:rPr>
              <w:t>Furthermore,</w:t>
            </w:r>
            <w:r w:rsidR="005B480F" w:rsidRPr="002F1EA5">
              <w:rPr>
                <w:rFonts w:cstheme="minorHAnsi"/>
                <w:sz w:val="18"/>
                <w:szCs w:val="18"/>
              </w:rPr>
              <w:t xml:space="preserve"> if states did not have to </w:t>
            </w:r>
            <w:r w:rsidR="00B41561" w:rsidRPr="002F1EA5">
              <w:rPr>
                <w:rFonts w:cstheme="minorHAnsi"/>
                <w:sz w:val="18"/>
                <w:szCs w:val="18"/>
              </w:rPr>
              <w:t>fund separate facilities and instead put more money into creating new industries, the South might have also recovered more quickly. Ultimately, it</w:t>
            </w:r>
            <w:r w:rsidR="002F5AF2" w:rsidRPr="002F1EA5">
              <w:rPr>
                <w:rFonts w:cstheme="minorHAnsi"/>
                <w:sz w:val="18"/>
                <w:szCs w:val="18"/>
              </w:rPr>
              <w:t>’</w:t>
            </w:r>
            <w:r w:rsidR="00B41561" w:rsidRPr="002F1EA5">
              <w:rPr>
                <w:rFonts w:cstheme="minorHAnsi"/>
                <w:sz w:val="18"/>
                <w:szCs w:val="18"/>
              </w:rPr>
              <w:t xml:space="preserve">s the same tactics that these groups thought would save the country that actually contributed to the country’s economic downfall in the 1930s. </w:t>
            </w:r>
          </w:p>
          <w:p w14:paraId="6F963101" w14:textId="0F2C2415" w:rsidR="00913E7E" w:rsidRPr="002F1EA5" w:rsidRDefault="00913E7E" w:rsidP="00122EE1">
            <w:pPr>
              <w:pStyle w:val="NoSpacing"/>
              <w:rPr>
                <w:rFonts w:cstheme="minorHAnsi"/>
                <w:b/>
                <w:sz w:val="18"/>
                <w:szCs w:val="18"/>
              </w:rPr>
            </w:pPr>
          </w:p>
        </w:tc>
      </w:tr>
    </w:tbl>
    <w:p w14:paraId="3804D1D0" w14:textId="2BF1DBDA" w:rsidR="000D5917" w:rsidRPr="00201B06" w:rsidRDefault="000D5917" w:rsidP="00201B06">
      <w:pPr>
        <w:pStyle w:val="NoSpacing"/>
        <w:rPr>
          <w:rFonts w:cstheme="minorHAnsi"/>
          <w:b/>
        </w:rPr>
      </w:pPr>
    </w:p>
    <w:tbl>
      <w:tblPr>
        <w:tblStyle w:val="TableGrid"/>
        <w:tblW w:w="0" w:type="auto"/>
        <w:tblLook w:val="04A0" w:firstRow="1" w:lastRow="0" w:firstColumn="1" w:lastColumn="0" w:noHBand="0" w:noVBand="1"/>
      </w:tblPr>
      <w:tblGrid>
        <w:gridCol w:w="1255"/>
        <w:gridCol w:w="5490"/>
        <w:gridCol w:w="2605"/>
      </w:tblGrid>
      <w:tr w:rsidR="000D5917" w:rsidRPr="00201B06" w14:paraId="53FD98F1" w14:textId="77777777" w:rsidTr="00201B06">
        <w:tc>
          <w:tcPr>
            <w:tcW w:w="9350" w:type="dxa"/>
            <w:gridSpan w:val="3"/>
            <w:shd w:val="clear" w:color="auto" w:fill="auto"/>
          </w:tcPr>
          <w:p w14:paraId="2908DC71" w14:textId="4EB3B7F1" w:rsidR="000D5917" w:rsidRPr="00201B06" w:rsidRDefault="00201B06" w:rsidP="00201B06">
            <w:pPr>
              <w:pStyle w:val="NoSpacing"/>
              <w:jc w:val="center"/>
              <w:rPr>
                <w:rFonts w:cstheme="minorHAnsi"/>
                <w:b/>
              </w:rPr>
            </w:pPr>
            <w:r w:rsidRPr="00201B06">
              <w:rPr>
                <w:rFonts w:cstheme="minorHAnsi"/>
                <w:b/>
              </w:rPr>
              <w:t>Lesson Sequence</w:t>
            </w:r>
          </w:p>
        </w:tc>
      </w:tr>
      <w:tr w:rsidR="000D5917" w:rsidRPr="00201B06" w14:paraId="49F21AAD" w14:textId="77777777" w:rsidTr="00201B06">
        <w:tc>
          <w:tcPr>
            <w:tcW w:w="6745" w:type="dxa"/>
            <w:gridSpan w:val="2"/>
            <w:shd w:val="clear" w:color="auto" w:fill="D9D9D9" w:themeFill="background1" w:themeFillShade="D9"/>
          </w:tcPr>
          <w:p w14:paraId="2EF5A49E" w14:textId="77777777" w:rsidR="000D5917" w:rsidRPr="00201B06" w:rsidRDefault="00201B06" w:rsidP="00201B06">
            <w:pPr>
              <w:pStyle w:val="NoSpacing"/>
              <w:jc w:val="center"/>
              <w:rPr>
                <w:rFonts w:cstheme="minorHAnsi"/>
                <w:b/>
              </w:rPr>
            </w:pPr>
            <w:r w:rsidRPr="00201B06">
              <w:rPr>
                <w:rFonts w:cstheme="minorHAnsi"/>
                <w:b/>
              </w:rPr>
              <w:t>OPENING</w:t>
            </w:r>
          </w:p>
          <w:p w14:paraId="20BB6BCB" w14:textId="154A2F93" w:rsidR="00201B06" w:rsidRPr="00201B06" w:rsidRDefault="00201B06" w:rsidP="00201B06">
            <w:pPr>
              <w:pStyle w:val="NoSpacing"/>
              <w:jc w:val="center"/>
              <w:rPr>
                <w:rFonts w:cstheme="minorHAnsi"/>
              </w:rPr>
            </w:pPr>
            <w:r w:rsidRPr="00201B06">
              <w:rPr>
                <w:rFonts w:cstheme="minorHAnsi"/>
              </w:rPr>
              <w:t>Time: 8 – 12 minutes</w:t>
            </w:r>
          </w:p>
        </w:tc>
        <w:tc>
          <w:tcPr>
            <w:tcW w:w="2605" w:type="dxa"/>
            <w:shd w:val="clear" w:color="auto" w:fill="D9D9D9" w:themeFill="background1" w:themeFillShade="D9"/>
          </w:tcPr>
          <w:p w14:paraId="51231539" w14:textId="3A204144" w:rsidR="000D5917" w:rsidRPr="00201B06" w:rsidRDefault="00201B06" w:rsidP="000D5917">
            <w:pPr>
              <w:pStyle w:val="NoSpacing"/>
              <w:jc w:val="center"/>
              <w:rPr>
                <w:rFonts w:cstheme="minorHAnsi"/>
                <w:b/>
              </w:rPr>
            </w:pPr>
            <w:r w:rsidRPr="00201B06">
              <w:rPr>
                <w:rFonts w:cstheme="minorHAnsi"/>
                <w:b/>
              </w:rPr>
              <w:t>Scaffolding Suggestions</w:t>
            </w:r>
          </w:p>
        </w:tc>
      </w:tr>
      <w:tr w:rsidR="000D5917" w:rsidRPr="00201B06" w14:paraId="20B11084" w14:textId="77777777" w:rsidTr="00201B06">
        <w:tc>
          <w:tcPr>
            <w:tcW w:w="6745" w:type="dxa"/>
            <w:gridSpan w:val="2"/>
          </w:tcPr>
          <w:p w14:paraId="63B4D1CF" w14:textId="64C4EA5F" w:rsidR="00913E7E" w:rsidRDefault="00913E7E" w:rsidP="005201E1">
            <w:pPr>
              <w:pStyle w:val="NoSpacing"/>
              <w:rPr>
                <w:rFonts w:cstheme="minorHAnsi"/>
                <w:i/>
              </w:rPr>
            </w:pPr>
          </w:p>
          <w:p w14:paraId="07100904" w14:textId="0C7EEFCE" w:rsidR="00BC7371" w:rsidRPr="0022151E" w:rsidRDefault="00BC7371" w:rsidP="005201E1">
            <w:pPr>
              <w:pStyle w:val="NoSpacing"/>
              <w:rPr>
                <w:rFonts w:cstheme="minorHAnsi"/>
                <w:sz w:val="18"/>
                <w:szCs w:val="18"/>
              </w:rPr>
            </w:pPr>
            <w:r w:rsidRPr="0022151E">
              <w:rPr>
                <w:rFonts w:cstheme="minorHAnsi"/>
                <w:sz w:val="18"/>
                <w:szCs w:val="18"/>
              </w:rPr>
              <w:t xml:space="preserve">Begin the lesson by reviewing the standard and essential question. Next, show the image </w:t>
            </w:r>
            <w:hyperlink r:id="rId21" w:anchor="obj7" w:history="1">
              <w:r w:rsidRPr="00122EE1">
                <w:rPr>
                  <w:rStyle w:val="Hyperlink"/>
                  <w:rFonts w:cstheme="minorHAnsi"/>
                  <w:sz w:val="18"/>
                  <w:szCs w:val="18"/>
                </w:rPr>
                <w:t>“In Georgia</w:t>
              </w:r>
            </w:hyperlink>
            <w:r w:rsidRPr="0022151E">
              <w:rPr>
                <w:rFonts w:cstheme="minorHAnsi"/>
                <w:sz w:val="18"/>
                <w:szCs w:val="18"/>
              </w:rPr>
              <w:t>” and asking some probing questions. Below is a list of possible questions:</w:t>
            </w:r>
          </w:p>
          <w:p w14:paraId="3C16E73F" w14:textId="437516B0" w:rsidR="00BC7371" w:rsidRPr="0022151E" w:rsidRDefault="00BC7371" w:rsidP="00BC7371">
            <w:pPr>
              <w:pStyle w:val="NoSpacing"/>
              <w:numPr>
                <w:ilvl w:val="0"/>
                <w:numId w:val="3"/>
              </w:numPr>
              <w:rPr>
                <w:rFonts w:cstheme="minorHAnsi"/>
                <w:sz w:val="18"/>
                <w:szCs w:val="18"/>
              </w:rPr>
            </w:pPr>
            <w:r w:rsidRPr="0022151E">
              <w:rPr>
                <w:rFonts w:cstheme="minorHAnsi"/>
                <w:sz w:val="18"/>
                <w:szCs w:val="18"/>
              </w:rPr>
              <w:t>What type of people do you notice in the image?</w:t>
            </w:r>
          </w:p>
          <w:p w14:paraId="7DF4469C" w14:textId="58F60820" w:rsidR="00BC7371" w:rsidRPr="0022151E" w:rsidRDefault="00BC7371" w:rsidP="00BC7371">
            <w:pPr>
              <w:pStyle w:val="NoSpacing"/>
              <w:numPr>
                <w:ilvl w:val="0"/>
                <w:numId w:val="3"/>
              </w:numPr>
              <w:rPr>
                <w:rFonts w:cstheme="minorHAnsi"/>
                <w:sz w:val="18"/>
                <w:szCs w:val="18"/>
              </w:rPr>
            </w:pPr>
            <w:r w:rsidRPr="0022151E">
              <w:rPr>
                <w:rFonts w:cstheme="minorHAnsi"/>
                <w:sz w:val="18"/>
                <w:szCs w:val="18"/>
              </w:rPr>
              <w:t>What are the African Americans doing in the photo?</w:t>
            </w:r>
          </w:p>
          <w:p w14:paraId="71A2A344" w14:textId="2C41DA17" w:rsidR="00BC7371" w:rsidRPr="0022151E" w:rsidRDefault="00BC7371" w:rsidP="00BC7371">
            <w:pPr>
              <w:pStyle w:val="NoSpacing"/>
              <w:numPr>
                <w:ilvl w:val="0"/>
                <w:numId w:val="3"/>
              </w:numPr>
              <w:rPr>
                <w:rFonts w:cstheme="minorHAnsi"/>
                <w:sz w:val="18"/>
                <w:szCs w:val="18"/>
              </w:rPr>
            </w:pPr>
            <w:r w:rsidRPr="0022151E">
              <w:rPr>
                <w:rFonts w:cstheme="minorHAnsi"/>
                <w:sz w:val="18"/>
                <w:szCs w:val="18"/>
              </w:rPr>
              <w:t>What is happening in the background of the photo?</w:t>
            </w:r>
          </w:p>
          <w:p w14:paraId="1D1C563A" w14:textId="79DF3374" w:rsidR="00BC7371" w:rsidRPr="0022151E" w:rsidRDefault="00BC7371" w:rsidP="00BC7371">
            <w:pPr>
              <w:pStyle w:val="NoSpacing"/>
              <w:numPr>
                <w:ilvl w:val="0"/>
                <w:numId w:val="3"/>
              </w:numPr>
              <w:rPr>
                <w:rFonts w:cstheme="minorHAnsi"/>
                <w:sz w:val="18"/>
                <w:szCs w:val="18"/>
              </w:rPr>
            </w:pPr>
            <w:r w:rsidRPr="0022151E">
              <w:rPr>
                <w:rFonts w:cstheme="minorHAnsi"/>
                <w:sz w:val="18"/>
                <w:szCs w:val="18"/>
              </w:rPr>
              <w:t>What do you think this picture reveals about the essential question?</w:t>
            </w:r>
          </w:p>
          <w:p w14:paraId="7F7E00AB" w14:textId="77777777" w:rsidR="00BC7371" w:rsidRPr="0022151E" w:rsidRDefault="00BC7371" w:rsidP="005201E1">
            <w:pPr>
              <w:pStyle w:val="NoSpacing"/>
              <w:rPr>
                <w:rFonts w:cstheme="minorHAnsi"/>
                <w:sz w:val="18"/>
                <w:szCs w:val="18"/>
              </w:rPr>
            </w:pPr>
          </w:p>
          <w:p w14:paraId="60A653E8" w14:textId="55DBAD22" w:rsidR="005201E1" w:rsidRPr="0022151E" w:rsidRDefault="00BC7371" w:rsidP="005201E1">
            <w:pPr>
              <w:pStyle w:val="NoSpacing"/>
              <w:rPr>
                <w:rFonts w:cstheme="minorHAnsi"/>
                <w:sz w:val="18"/>
                <w:szCs w:val="18"/>
              </w:rPr>
            </w:pPr>
            <w:r w:rsidRPr="0022151E">
              <w:rPr>
                <w:rFonts w:cstheme="minorHAnsi"/>
                <w:sz w:val="18"/>
                <w:szCs w:val="18"/>
              </w:rPr>
              <w:t xml:space="preserve">Finally, decode the essential question: How were African Americans’ political rights denied through disenfranchisement, Jim Crow laws, and racial violence? Use this opportunity to have the students write down the definition and complete the visual vocabulary activity on slide three. </w:t>
            </w:r>
          </w:p>
          <w:p w14:paraId="67F6390F" w14:textId="640D0CE6" w:rsidR="000D5917" w:rsidRPr="00913E7E" w:rsidRDefault="00913E7E" w:rsidP="00201B06">
            <w:pPr>
              <w:pStyle w:val="NoSpacing"/>
              <w:jc w:val="center"/>
              <w:rPr>
                <w:rFonts w:cstheme="minorHAnsi"/>
                <w:i/>
              </w:rPr>
            </w:pPr>
            <w:r>
              <w:rPr>
                <w:rFonts w:cstheme="minorHAnsi"/>
                <w:i/>
              </w:rPr>
              <w:t xml:space="preserve"> </w:t>
            </w:r>
          </w:p>
        </w:tc>
        <w:tc>
          <w:tcPr>
            <w:tcW w:w="2605" w:type="dxa"/>
          </w:tcPr>
          <w:p w14:paraId="657716C3" w14:textId="77777777" w:rsidR="000D5917" w:rsidRPr="0022151E" w:rsidRDefault="00BC7371" w:rsidP="00122EE1">
            <w:pPr>
              <w:pStyle w:val="NoSpacing"/>
              <w:rPr>
                <w:rFonts w:cstheme="minorHAnsi"/>
                <w:b/>
                <w:sz w:val="18"/>
                <w:szCs w:val="18"/>
              </w:rPr>
            </w:pPr>
            <w:r w:rsidRPr="0022151E">
              <w:rPr>
                <w:rFonts w:cstheme="minorHAnsi"/>
                <w:b/>
                <w:sz w:val="18"/>
                <w:szCs w:val="18"/>
              </w:rPr>
              <w:t xml:space="preserve">If you notice students are struggling to recognize the images in the pictures, try asking them what they know about the Ku Klux Klan or sharecropping. </w:t>
            </w:r>
          </w:p>
          <w:p w14:paraId="3CC4BC3D" w14:textId="77777777" w:rsidR="00BC7371" w:rsidRPr="0022151E" w:rsidRDefault="00BC7371" w:rsidP="00122EE1">
            <w:pPr>
              <w:pStyle w:val="NoSpacing"/>
              <w:rPr>
                <w:rFonts w:cstheme="minorHAnsi"/>
                <w:b/>
                <w:sz w:val="18"/>
                <w:szCs w:val="18"/>
              </w:rPr>
            </w:pPr>
          </w:p>
          <w:p w14:paraId="6BF7E8F6" w14:textId="300FB370" w:rsidR="00BC7371" w:rsidRPr="00201B06" w:rsidRDefault="00BC7371" w:rsidP="00122EE1">
            <w:pPr>
              <w:pStyle w:val="NoSpacing"/>
              <w:rPr>
                <w:rFonts w:cstheme="minorHAnsi"/>
                <w:b/>
              </w:rPr>
            </w:pPr>
            <w:r w:rsidRPr="0022151E">
              <w:rPr>
                <w:rFonts w:cstheme="minorHAnsi"/>
                <w:b/>
                <w:sz w:val="18"/>
                <w:szCs w:val="18"/>
              </w:rPr>
              <w:t>Before the students start working on the visual vocabulary activity, be sure to model this activity with the example provided on slide three.</w:t>
            </w:r>
          </w:p>
        </w:tc>
      </w:tr>
      <w:tr w:rsidR="000D5917" w:rsidRPr="00201B06" w14:paraId="6C1BD241" w14:textId="77777777" w:rsidTr="00201B06">
        <w:tc>
          <w:tcPr>
            <w:tcW w:w="6745" w:type="dxa"/>
            <w:gridSpan w:val="2"/>
            <w:shd w:val="clear" w:color="auto" w:fill="D9D9D9" w:themeFill="background1" w:themeFillShade="D9"/>
          </w:tcPr>
          <w:p w14:paraId="719C86AD" w14:textId="77777777" w:rsidR="000D5917" w:rsidRPr="00201B06" w:rsidRDefault="00201B06" w:rsidP="00201B06">
            <w:pPr>
              <w:pStyle w:val="NoSpacing"/>
              <w:jc w:val="center"/>
              <w:rPr>
                <w:rFonts w:cstheme="minorHAnsi"/>
                <w:b/>
              </w:rPr>
            </w:pPr>
            <w:r w:rsidRPr="00201B06">
              <w:rPr>
                <w:rFonts w:cstheme="minorHAnsi"/>
                <w:b/>
              </w:rPr>
              <w:t>WORK PERIOD</w:t>
            </w:r>
          </w:p>
          <w:p w14:paraId="43D36834" w14:textId="6E10997D" w:rsidR="00201B06" w:rsidRPr="00201B06" w:rsidRDefault="00201B06" w:rsidP="00201B06">
            <w:pPr>
              <w:pStyle w:val="NoSpacing"/>
              <w:jc w:val="center"/>
              <w:rPr>
                <w:rFonts w:cstheme="minorHAnsi"/>
                <w:b/>
              </w:rPr>
            </w:pPr>
            <w:r w:rsidRPr="00201B06">
              <w:rPr>
                <w:rFonts w:cstheme="minorHAnsi"/>
              </w:rPr>
              <w:t>Time: 25-30 minutes</w:t>
            </w:r>
          </w:p>
        </w:tc>
        <w:tc>
          <w:tcPr>
            <w:tcW w:w="2605" w:type="dxa"/>
            <w:shd w:val="clear" w:color="auto" w:fill="D9D9D9" w:themeFill="background1" w:themeFillShade="D9"/>
          </w:tcPr>
          <w:p w14:paraId="20515AF9" w14:textId="0D8C0129" w:rsidR="000D5917" w:rsidRPr="00201B06" w:rsidRDefault="00201B06" w:rsidP="000D5917">
            <w:pPr>
              <w:pStyle w:val="NoSpacing"/>
              <w:jc w:val="center"/>
              <w:rPr>
                <w:rFonts w:cstheme="minorHAnsi"/>
                <w:b/>
              </w:rPr>
            </w:pPr>
            <w:r w:rsidRPr="00201B06">
              <w:rPr>
                <w:rFonts w:cstheme="minorHAnsi"/>
                <w:b/>
              </w:rPr>
              <w:t>Scaffolding Suggestions</w:t>
            </w:r>
          </w:p>
        </w:tc>
      </w:tr>
      <w:tr w:rsidR="000D5917" w:rsidRPr="00201B06" w14:paraId="1F85EDEB" w14:textId="77777777" w:rsidTr="00201B06">
        <w:tc>
          <w:tcPr>
            <w:tcW w:w="6745" w:type="dxa"/>
            <w:gridSpan w:val="2"/>
          </w:tcPr>
          <w:p w14:paraId="3555CEDD" w14:textId="6EE0074B" w:rsidR="00913E7E" w:rsidRDefault="0022151E" w:rsidP="0022151E">
            <w:pPr>
              <w:pStyle w:val="NoSpacing"/>
              <w:numPr>
                <w:ilvl w:val="0"/>
                <w:numId w:val="4"/>
              </w:numPr>
              <w:rPr>
                <w:rFonts w:cstheme="minorHAnsi"/>
                <w:sz w:val="18"/>
                <w:szCs w:val="18"/>
              </w:rPr>
            </w:pPr>
            <w:r w:rsidRPr="0022151E">
              <w:rPr>
                <w:rFonts w:cstheme="minorHAnsi"/>
                <w:sz w:val="18"/>
                <w:szCs w:val="18"/>
              </w:rPr>
              <w:t>Begin the work period by directly instructing the students using slides four through ten</w:t>
            </w:r>
            <w:r w:rsidR="00E74030">
              <w:rPr>
                <w:rFonts w:cstheme="minorHAnsi"/>
                <w:sz w:val="18"/>
                <w:szCs w:val="18"/>
              </w:rPr>
              <w:t xml:space="preserve"> of the PowerPoint titled The New South</w:t>
            </w:r>
            <w:r w:rsidRPr="0022151E">
              <w:rPr>
                <w:rFonts w:cstheme="minorHAnsi"/>
                <w:sz w:val="18"/>
                <w:szCs w:val="18"/>
              </w:rPr>
              <w:t xml:space="preserve">. </w:t>
            </w:r>
          </w:p>
          <w:p w14:paraId="2384C5D4" w14:textId="59DD3704" w:rsidR="00E74030" w:rsidRDefault="00E74030" w:rsidP="00E74030">
            <w:pPr>
              <w:pStyle w:val="NoSpacing"/>
              <w:numPr>
                <w:ilvl w:val="1"/>
                <w:numId w:val="4"/>
              </w:numPr>
              <w:rPr>
                <w:rFonts w:cstheme="minorHAnsi"/>
                <w:sz w:val="18"/>
                <w:szCs w:val="18"/>
              </w:rPr>
            </w:pPr>
            <w:r>
              <w:rPr>
                <w:rFonts w:cstheme="minorHAnsi"/>
                <w:sz w:val="18"/>
                <w:szCs w:val="18"/>
              </w:rPr>
              <w:t xml:space="preserve">Use the Think Aloud breaks, probing questions, and primary sources built into the presentation to check for understanding. </w:t>
            </w:r>
          </w:p>
          <w:p w14:paraId="4EA13550" w14:textId="3415D87D" w:rsidR="00E74030" w:rsidRDefault="0022151E" w:rsidP="0022151E">
            <w:pPr>
              <w:pStyle w:val="NoSpacing"/>
              <w:numPr>
                <w:ilvl w:val="0"/>
                <w:numId w:val="4"/>
              </w:numPr>
              <w:rPr>
                <w:rFonts w:cstheme="minorHAnsi"/>
                <w:sz w:val="18"/>
                <w:szCs w:val="18"/>
              </w:rPr>
            </w:pPr>
            <w:r>
              <w:rPr>
                <w:rFonts w:cstheme="minorHAnsi"/>
                <w:sz w:val="18"/>
                <w:szCs w:val="18"/>
              </w:rPr>
              <w:t xml:space="preserve">Next, </w:t>
            </w:r>
            <w:r w:rsidR="00E74030">
              <w:rPr>
                <w:rFonts w:cstheme="minorHAnsi"/>
                <w:sz w:val="18"/>
                <w:szCs w:val="18"/>
              </w:rPr>
              <w:t>the students will complete the instructional strategy on the PowerPoint titled Navigating through Segregation: A Travel Diary Activity.</w:t>
            </w:r>
          </w:p>
          <w:p w14:paraId="09BAC45C" w14:textId="451EFF16" w:rsidR="0022151E" w:rsidRDefault="00E74030" w:rsidP="00E74030">
            <w:pPr>
              <w:pStyle w:val="NoSpacing"/>
              <w:numPr>
                <w:ilvl w:val="1"/>
                <w:numId w:val="4"/>
              </w:numPr>
              <w:rPr>
                <w:rFonts w:cstheme="minorHAnsi"/>
                <w:sz w:val="18"/>
                <w:szCs w:val="18"/>
              </w:rPr>
            </w:pPr>
            <w:r>
              <w:rPr>
                <w:rFonts w:cstheme="minorHAnsi"/>
                <w:sz w:val="18"/>
                <w:szCs w:val="18"/>
              </w:rPr>
              <w:t>D</w:t>
            </w:r>
            <w:r w:rsidR="0022151E">
              <w:rPr>
                <w:rFonts w:cstheme="minorHAnsi"/>
                <w:sz w:val="18"/>
                <w:szCs w:val="18"/>
              </w:rPr>
              <w:t xml:space="preserve">ecide whether you’d like the students to move as a class or work individually on their own devices (this activity could also work well if the students </w:t>
            </w:r>
            <w:r w:rsidR="00055751">
              <w:rPr>
                <w:rFonts w:cstheme="minorHAnsi"/>
                <w:sz w:val="18"/>
                <w:szCs w:val="18"/>
              </w:rPr>
              <w:t>can</w:t>
            </w:r>
            <w:r w:rsidR="0022151E">
              <w:rPr>
                <w:rFonts w:cstheme="minorHAnsi"/>
                <w:sz w:val="18"/>
                <w:szCs w:val="18"/>
              </w:rPr>
              <w:t xml:space="preserve"> work with a partner). </w:t>
            </w:r>
          </w:p>
          <w:p w14:paraId="588F468D" w14:textId="22AE79B3" w:rsidR="00E74030" w:rsidRDefault="00E74030" w:rsidP="00FA0444">
            <w:pPr>
              <w:pStyle w:val="NoSpacing"/>
              <w:numPr>
                <w:ilvl w:val="1"/>
                <w:numId w:val="4"/>
              </w:numPr>
              <w:rPr>
                <w:rFonts w:cstheme="minorHAnsi"/>
                <w:sz w:val="18"/>
                <w:szCs w:val="18"/>
              </w:rPr>
            </w:pPr>
            <w:r>
              <w:rPr>
                <w:rFonts w:cstheme="minorHAnsi"/>
                <w:sz w:val="18"/>
                <w:szCs w:val="18"/>
              </w:rPr>
              <w:t>First,</w:t>
            </w:r>
            <w:r w:rsidR="0022151E">
              <w:rPr>
                <w:rFonts w:cstheme="minorHAnsi"/>
                <w:sz w:val="18"/>
                <w:szCs w:val="18"/>
              </w:rPr>
              <w:t xml:space="preserve"> students </w:t>
            </w:r>
            <w:r>
              <w:rPr>
                <w:rFonts w:cstheme="minorHAnsi"/>
                <w:sz w:val="18"/>
                <w:szCs w:val="18"/>
              </w:rPr>
              <w:t xml:space="preserve">will </w:t>
            </w:r>
            <w:r w:rsidR="0022151E">
              <w:rPr>
                <w:rFonts w:cstheme="minorHAnsi"/>
                <w:sz w:val="18"/>
                <w:szCs w:val="18"/>
              </w:rPr>
              <w:t xml:space="preserve">read and analyze the primary source </w:t>
            </w:r>
            <w:r>
              <w:rPr>
                <w:rFonts w:cstheme="minorHAnsi"/>
                <w:sz w:val="18"/>
                <w:szCs w:val="18"/>
              </w:rPr>
              <w:t xml:space="preserve">attached to each pit stop. They can use TPS’ Primary Analysis Tool worksheet to help them comprehend the primary source. </w:t>
            </w:r>
          </w:p>
          <w:p w14:paraId="28360F97" w14:textId="17F69342" w:rsidR="00E74030" w:rsidRPr="00E74030" w:rsidRDefault="00E74030" w:rsidP="00E74030">
            <w:pPr>
              <w:pStyle w:val="NoSpacing"/>
              <w:numPr>
                <w:ilvl w:val="1"/>
                <w:numId w:val="4"/>
              </w:numPr>
              <w:rPr>
                <w:rFonts w:cstheme="minorHAnsi"/>
                <w:sz w:val="18"/>
                <w:szCs w:val="18"/>
              </w:rPr>
            </w:pPr>
            <w:r>
              <w:rPr>
                <w:rFonts w:cstheme="minorHAnsi"/>
                <w:sz w:val="18"/>
                <w:szCs w:val="18"/>
              </w:rPr>
              <w:t>T</w:t>
            </w:r>
            <w:r w:rsidR="0022151E">
              <w:rPr>
                <w:rFonts w:cstheme="minorHAnsi"/>
                <w:sz w:val="18"/>
                <w:szCs w:val="18"/>
              </w:rPr>
              <w:t>hen</w:t>
            </w:r>
            <w:r>
              <w:rPr>
                <w:rFonts w:cstheme="minorHAnsi"/>
                <w:sz w:val="18"/>
                <w:szCs w:val="18"/>
              </w:rPr>
              <w:t xml:space="preserve"> have the students </w:t>
            </w:r>
            <w:r w:rsidR="0022151E">
              <w:rPr>
                <w:rFonts w:cstheme="minorHAnsi"/>
                <w:sz w:val="18"/>
                <w:szCs w:val="18"/>
              </w:rPr>
              <w:t xml:space="preserve">write at least one paragraph in response to the travel diary entry’s writing prompt. </w:t>
            </w:r>
          </w:p>
          <w:p w14:paraId="34D0A3ED" w14:textId="77777777" w:rsidR="00913E7E" w:rsidRDefault="00913E7E" w:rsidP="00201B06">
            <w:pPr>
              <w:pStyle w:val="NoSpacing"/>
              <w:jc w:val="center"/>
              <w:rPr>
                <w:rFonts w:cstheme="minorHAnsi"/>
                <w:b/>
              </w:rPr>
            </w:pPr>
          </w:p>
          <w:p w14:paraId="025DF29D" w14:textId="37EDB1F4" w:rsidR="00913E7E" w:rsidRPr="00201B06" w:rsidRDefault="00913E7E" w:rsidP="00201B06">
            <w:pPr>
              <w:pStyle w:val="NoSpacing"/>
              <w:jc w:val="center"/>
              <w:rPr>
                <w:rFonts w:cstheme="minorHAnsi"/>
                <w:b/>
              </w:rPr>
            </w:pPr>
          </w:p>
        </w:tc>
        <w:tc>
          <w:tcPr>
            <w:tcW w:w="2605" w:type="dxa"/>
          </w:tcPr>
          <w:p w14:paraId="20A8B735" w14:textId="77777777" w:rsidR="000D5917" w:rsidRDefault="000D5917" w:rsidP="000D5917">
            <w:pPr>
              <w:pStyle w:val="NoSpacing"/>
              <w:jc w:val="center"/>
              <w:rPr>
                <w:rFonts w:cstheme="minorHAnsi"/>
                <w:b/>
                <w:sz w:val="18"/>
                <w:szCs w:val="18"/>
              </w:rPr>
            </w:pPr>
          </w:p>
          <w:p w14:paraId="5DE3D6B3" w14:textId="77777777" w:rsidR="00055751" w:rsidRDefault="00055751" w:rsidP="00055751">
            <w:pPr>
              <w:pStyle w:val="NoSpacing"/>
              <w:rPr>
                <w:rFonts w:cstheme="minorHAnsi"/>
                <w:b/>
                <w:sz w:val="18"/>
                <w:szCs w:val="18"/>
              </w:rPr>
            </w:pPr>
            <w:r>
              <w:rPr>
                <w:rFonts w:cstheme="minorHAnsi"/>
                <w:b/>
                <w:sz w:val="18"/>
                <w:szCs w:val="18"/>
              </w:rPr>
              <w:t xml:space="preserve">There are two Think Aloud breaks that will allow students to predict and process the information during direct instruction. </w:t>
            </w:r>
          </w:p>
          <w:p w14:paraId="74006CCF" w14:textId="77777777" w:rsidR="00055751" w:rsidRDefault="00055751" w:rsidP="00055751">
            <w:pPr>
              <w:pStyle w:val="NoSpacing"/>
              <w:rPr>
                <w:rFonts w:cstheme="minorHAnsi"/>
                <w:b/>
                <w:sz w:val="18"/>
                <w:szCs w:val="18"/>
              </w:rPr>
            </w:pPr>
          </w:p>
          <w:p w14:paraId="69313332" w14:textId="1B670AC1" w:rsidR="00055751" w:rsidRPr="00055751" w:rsidRDefault="00055751" w:rsidP="00055751">
            <w:pPr>
              <w:pStyle w:val="NoSpacing"/>
              <w:rPr>
                <w:rFonts w:cstheme="minorHAnsi"/>
                <w:b/>
                <w:sz w:val="18"/>
                <w:szCs w:val="18"/>
              </w:rPr>
            </w:pPr>
            <w:r>
              <w:rPr>
                <w:rFonts w:cstheme="minorHAnsi"/>
                <w:b/>
                <w:sz w:val="18"/>
                <w:szCs w:val="18"/>
              </w:rPr>
              <w:t xml:space="preserve">For the main instructional strategy, try modeling the first pit stop. Explain how to analyze a primary source using TPS’ </w:t>
            </w:r>
            <w:r w:rsidR="00E74030">
              <w:rPr>
                <w:rFonts w:cstheme="minorHAnsi"/>
                <w:b/>
                <w:sz w:val="18"/>
                <w:szCs w:val="18"/>
              </w:rPr>
              <w:t xml:space="preserve">Primary Source Analysis Tool and the parameters for the travel diary. </w:t>
            </w:r>
          </w:p>
        </w:tc>
      </w:tr>
      <w:tr w:rsidR="000D5917" w:rsidRPr="00201B06" w14:paraId="3299B37B" w14:textId="77777777" w:rsidTr="00201B06">
        <w:tc>
          <w:tcPr>
            <w:tcW w:w="6745" w:type="dxa"/>
            <w:gridSpan w:val="2"/>
            <w:shd w:val="clear" w:color="auto" w:fill="D9D9D9" w:themeFill="background1" w:themeFillShade="D9"/>
          </w:tcPr>
          <w:p w14:paraId="2FC3BDC9" w14:textId="56C06591" w:rsidR="00201B06" w:rsidRPr="00201B06" w:rsidRDefault="00913E7E" w:rsidP="00201B06">
            <w:pPr>
              <w:pStyle w:val="NoSpacing"/>
              <w:jc w:val="center"/>
              <w:rPr>
                <w:rFonts w:cstheme="minorHAnsi"/>
                <w:b/>
              </w:rPr>
            </w:pPr>
            <w:r>
              <w:rPr>
                <w:rFonts w:cstheme="minorHAnsi"/>
                <w:b/>
              </w:rPr>
              <w:t>CLOSING</w:t>
            </w:r>
          </w:p>
          <w:p w14:paraId="7005184D" w14:textId="02461EC1" w:rsidR="000D5917" w:rsidRPr="00201B06" w:rsidRDefault="00201B06" w:rsidP="00201B06">
            <w:pPr>
              <w:pStyle w:val="NoSpacing"/>
              <w:tabs>
                <w:tab w:val="left" w:pos="4530"/>
              </w:tabs>
              <w:jc w:val="center"/>
              <w:rPr>
                <w:rFonts w:cstheme="minorHAnsi"/>
                <w:b/>
              </w:rPr>
            </w:pPr>
            <w:r w:rsidRPr="00201B06">
              <w:rPr>
                <w:rFonts w:cstheme="minorHAnsi"/>
              </w:rPr>
              <w:t>Time: 15 – 20 minutes</w:t>
            </w:r>
          </w:p>
        </w:tc>
        <w:tc>
          <w:tcPr>
            <w:tcW w:w="2605" w:type="dxa"/>
            <w:shd w:val="clear" w:color="auto" w:fill="D9D9D9" w:themeFill="background1" w:themeFillShade="D9"/>
          </w:tcPr>
          <w:p w14:paraId="0E822A34" w14:textId="799ACA8F" w:rsidR="000D5917" w:rsidRPr="00201B06" w:rsidRDefault="00201B06" w:rsidP="000D5917">
            <w:pPr>
              <w:pStyle w:val="NoSpacing"/>
              <w:jc w:val="center"/>
              <w:rPr>
                <w:rFonts w:cstheme="minorHAnsi"/>
                <w:b/>
              </w:rPr>
            </w:pPr>
            <w:r w:rsidRPr="00201B06">
              <w:rPr>
                <w:rFonts w:cstheme="minorHAnsi"/>
                <w:b/>
              </w:rPr>
              <w:t>Scaffolding Suggestions</w:t>
            </w:r>
          </w:p>
        </w:tc>
      </w:tr>
      <w:tr w:rsidR="00201B06" w:rsidRPr="00201B06" w14:paraId="3BE19053" w14:textId="77777777" w:rsidTr="00201B06">
        <w:tc>
          <w:tcPr>
            <w:tcW w:w="6745" w:type="dxa"/>
            <w:gridSpan w:val="2"/>
          </w:tcPr>
          <w:p w14:paraId="293D09F1" w14:textId="77777777" w:rsidR="00201B06" w:rsidRPr="006C1DE0" w:rsidRDefault="00E74030" w:rsidP="00201B06">
            <w:pPr>
              <w:pStyle w:val="NoSpacing"/>
              <w:tabs>
                <w:tab w:val="left" w:pos="4530"/>
              </w:tabs>
              <w:rPr>
                <w:rFonts w:cstheme="minorHAnsi"/>
                <w:b/>
                <w:sz w:val="18"/>
                <w:szCs w:val="18"/>
              </w:rPr>
            </w:pPr>
            <w:r w:rsidRPr="006C1DE0">
              <w:rPr>
                <w:rFonts w:cstheme="minorHAnsi"/>
                <w:b/>
                <w:sz w:val="18"/>
                <w:szCs w:val="18"/>
              </w:rPr>
              <w:t xml:space="preserve">Think Pair Share </w:t>
            </w:r>
          </w:p>
          <w:p w14:paraId="2DC163BB" w14:textId="77777777" w:rsidR="00E74030" w:rsidRDefault="00E74030" w:rsidP="00201B06">
            <w:pPr>
              <w:pStyle w:val="NoSpacing"/>
              <w:tabs>
                <w:tab w:val="left" w:pos="4530"/>
              </w:tabs>
              <w:rPr>
                <w:rFonts w:cstheme="minorHAnsi"/>
                <w:sz w:val="18"/>
                <w:szCs w:val="18"/>
              </w:rPr>
            </w:pPr>
            <w:r>
              <w:rPr>
                <w:rFonts w:cstheme="minorHAnsi"/>
                <w:sz w:val="18"/>
                <w:szCs w:val="18"/>
              </w:rPr>
              <w:t xml:space="preserve">Have students </w:t>
            </w:r>
            <w:r w:rsidR="006C1DE0">
              <w:rPr>
                <w:rFonts w:cstheme="minorHAnsi"/>
                <w:sz w:val="18"/>
                <w:szCs w:val="18"/>
              </w:rPr>
              <w:t>re</w:t>
            </w:r>
            <w:r>
              <w:rPr>
                <w:rFonts w:cstheme="minorHAnsi"/>
                <w:sz w:val="18"/>
                <w:szCs w:val="18"/>
              </w:rPr>
              <w:t>consider</w:t>
            </w:r>
            <w:r w:rsidR="006C1DE0">
              <w:rPr>
                <w:rFonts w:cstheme="minorHAnsi"/>
                <w:sz w:val="18"/>
                <w:szCs w:val="18"/>
              </w:rPr>
              <w:t xml:space="preserve"> the essential question: </w:t>
            </w:r>
            <w:r w:rsidR="006C1DE0" w:rsidRPr="006C1DE0">
              <w:rPr>
                <w:rFonts w:cstheme="minorHAnsi"/>
                <w:sz w:val="18"/>
                <w:szCs w:val="18"/>
              </w:rPr>
              <w:t xml:space="preserve">How were African Americans’ political rights denied through disenfranchisement, Jim Crow laws, and racial violence? </w:t>
            </w:r>
            <w:r w:rsidR="006C1DE0">
              <w:rPr>
                <w:rFonts w:cstheme="minorHAnsi"/>
                <w:sz w:val="18"/>
                <w:szCs w:val="18"/>
              </w:rPr>
              <w:t xml:space="preserve"> </w:t>
            </w:r>
          </w:p>
          <w:p w14:paraId="15E17FE0" w14:textId="1E464ECD" w:rsidR="006C1DE0" w:rsidRDefault="006C1DE0" w:rsidP="00201B06">
            <w:pPr>
              <w:pStyle w:val="NoSpacing"/>
              <w:tabs>
                <w:tab w:val="left" w:pos="4530"/>
              </w:tabs>
              <w:rPr>
                <w:rFonts w:cstheme="minorHAnsi"/>
                <w:sz w:val="18"/>
                <w:szCs w:val="18"/>
              </w:rPr>
            </w:pPr>
            <w:r>
              <w:rPr>
                <w:rFonts w:cstheme="minorHAnsi"/>
                <w:sz w:val="18"/>
                <w:szCs w:val="18"/>
              </w:rPr>
              <w:t>Now with a partner, students should discuss the tactics used and how the tactic helped deny African Americans their constitutional rights.</w:t>
            </w:r>
          </w:p>
          <w:p w14:paraId="4595C8D4" w14:textId="77777777" w:rsidR="006C1DE0" w:rsidRDefault="006C1DE0" w:rsidP="00201B06">
            <w:pPr>
              <w:pStyle w:val="NoSpacing"/>
              <w:tabs>
                <w:tab w:val="left" w:pos="4530"/>
              </w:tabs>
              <w:rPr>
                <w:rFonts w:cstheme="minorHAnsi"/>
                <w:sz w:val="18"/>
                <w:szCs w:val="18"/>
              </w:rPr>
            </w:pPr>
          </w:p>
          <w:p w14:paraId="7EAE118F" w14:textId="6173C1B6" w:rsidR="006C1DE0" w:rsidRPr="00E74030" w:rsidRDefault="006C1DE0" w:rsidP="00201B06">
            <w:pPr>
              <w:pStyle w:val="NoSpacing"/>
              <w:tabs>
                <w:tab w:val="left" w:pos="4530"/>
              </w:tabs>
              <w:rPr>
                <w:rFonts w:cstheme="minorHAnsi"/>
                <w:sz w:val="18"/>
                <w:szCs w:val="18"/>
              </w:rPr>
            </w:pPr>
            <w:r>
              <w:rPr>
                <w:rFonts w:cstheme="minorHAnsi"/>
                <w:sz w:val="18"/>
                <w:szCs w:val="18"/>
              </w:rPr>
              <w:t xml:space="preserve">Finally, have the students share some of their diary entries with the class. After each student shares, have the class try to guess which tactic their entry describes and how their entry may have played out during that era. </w:t>
            </w:r>
          </w:p>
        </w:tc>
        <w:tc>
          <w:tcPr>
            <w:tcW w:w="2605" w:type="dxa"/>
          </w:tcPr>
          <w:p w14:paraId="76E4A02B" w14:textId="77777777" w:rsidR="00201B06" w:rsidRPr="00201B06" w:rsidRDefault="00201B06" w:rsidP="000D5917">
            <w:pPr>
              <w:pStyle w:val="NoSpacing"/>
              <w:jc w:val="center"/>
              <w:rPr>
                <w:rFonts w:cstheme="minorHAnsi"/>
                <w:b/>
              </w:rPr>
            </w:pPr>
          </w:p>
        </w:tc>
      </w:tr>
      <w:tr w:rsidR="00201B06" w:rsidRPr="00201B06" w14:paraId="5ED9EACF" w14:textId="77777777" w:rsidTr="00201B06">
        <w:tc>
          <w:tcPr>
            <w:tcW w:w="1255" w:type="dxa"/>
            <w:shd w:val="clear" w:color="auto" w:fill="D9D9D9" w:themeFill="background1" w:themeFillShade="D9"/>
          </w:tcPr>
          <w:p w14:paraId="4B86500E" w14:textId="5268EE1A" w:rsidR="00201B06" w:rsidRPr="00201B06" w:rsidRDefault="00201B06" w:rsidP="000D5917">
            <w:pPr>
              <w:pStyle w:val="NoSpacing"/>
              <w:jc w:val="center"/>
              <w:rPr>
                <w:rFonts w:cstheme="minorHAnsi"/>
                <w:b/>
              </w:rPr>
            </w:pPr>
            <w:r w:rsidRPr="00201B06">
              <w:rPr>
                <w:rFonts w:cstheme="minorHAnsi"/>
                <w:b/>
              </w:rPr>
              <w:t>Author(s)</w:t>
            </w:r>
          </w:p>
        </w:tc>
        <w:tc>
          <w:tcPr>
            <w:tcW w:w="8095" w:type="dxa"/>
            <w:gridSpan w:val="2"/>
          </w:tcPr>
          <w:p w14:paraId="34027F49" w14:textId="22E8914A" w:rsidR="00201B06" w:rsidRPr="00201B06" w:rsidRDefault="006C1DE0" w:rsidP="000D5917">
            <w:pPr>
              <w:pStyle w:val="NoSpacing"/>
              <w:jc w:val="center"/>
              <w:rPr>
                <w:rFonts w:cstheme="minorHAnsi"/>
                <w:b/>
              </w:rPr>
            </w:pPr>
            <w:r>
              <w:rPr>
                <w:rFonts w:cstheme="minorHAnsi"/>
                <w:b/>
              </w:rPr>
              <w:t xml:space="preserve">Skyler Morgan </w:t>
            </w:r>
          </w:p>
        </w:tc>
      </w:tr>
    </w:tbl>
    <w:p w14:paraId="788BF204" w14:textId="77777777" w:rsidR="000D5917" w:rsidRPr="00201B06" w:rsidRDefault="000D5917" w:rsidP="00913E7E">
      <w:pPr>
        <w:pStyle w:val="NoSpacing"/>
        <w:rPr>
          <w:rFonts w:cstheme="minorHAnsi"/>
          <w:b/>
        </w:rPr>
      </w:pPr>
    </w:p>
    <w:sectPr w:rsidR="000D5917" w:rsidRPr="00201B0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FD6C" w14:textId="77777777" w:rsidR="00EE5062" w:rsidRDefault="00EE5062" w:rsidP="00271D2E">
      <w:pPr>
        <w:spacing w:after="0" w:line="240" w:lineRule="auto"/>
      </w:pPr>
      <w:r>
        <w:separator/>
      </w:r>
    </w:p>
  </w:endnote>
  <w:endnote w:type="continuationSeparator" w:id="0">
    <w:p w14:paraId="1586248F" w14:textId="77777777" w:rsidR="00EE5062" w:rsidRDefault="00EE5062" w:rsidP="0027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98C" w14:textId="77777777" w:rsidR="00271D2E" w:rsidRDefault="00271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7AD8" w14:textId="77777777" w:rsidR="00271D2E" w:rsidRDefault="00271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345" w14:textId="77777777" w:rsidR="00271D2E" w:rsidRDefault="0027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C5EB" w14:textId="77777777" w:rsidR="00EE5062" w:rsidRDefault="00EE5062" w:rsidP="00271D2E">
      <w:pPr>
        <w:spacing w:after="0" w:line="240" w:lineRule="auto"/>
      </w:pPr>
      <w:r>
        <w:separator/>
      </w:r>
    </w:p>
  </w:footnote>
  <w:footnote w:type="continuationSeparator" w:id="0">
    <w:p w14:paraId="23F9E669" w14:textId="77777777" w:rsidR="00EE5062" w:rsidRDefault="00EE5062" w:rsidP="0027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35CC" w14:textId="77777777" w:rsidR="00271D2E" w:rsidRDefault="00271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D74" w14:textId="1E20344D" w:rsidR="00271D2E" w:rsidRPr="00271D2E" w:rsidRDefault="00271D2E">
    <w:pPr>
      <w:pStyle w:val="Header"/>
      <w:rPr>
        <w:b/>
        <w:sz w:val="28"/>
      </w:rPr>
    </w:pPr>
    <w:r w:rsidRPr="00271D2E">
      <w:rPr>
        <w:b/>
        <w:noProof/>
        <w:sz w:val="28"/>
      </w:rPr>
      <w:drawing>
        <wp:anchor distT="0" distB="0" distL="114300" distR="114300" simplePos="0" relativeHeight="251658240" behindDoc="0" locked="0" layoutInCell="1" allowOverlap="1" wp14:anchorId="1F7A41F3" wp14:editId="2EAB5365">
          <wp:simplePos x="0" y="0"/>
          <wp:positionH relativeFrom="margin">
            <wp:align>right</wp:align>
          </wp:positionH>
          <wp:positionV relativeFrom="paragraph">
            <wp:posOffset>-142875</wp:posOffset>
          </wp:positionV>
          <wp:extent cx="790575" cy="5175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790575" cy="517525"/>
                  </a:xfrm>
                  <a:prstGeom prst="rect">
                    <a:avLst/>
                  </a:prstGeom>
                </pic:spPr>
              </pic:pic>
            </a:graphicData>
          </a:graphic>
        </wp:anchor>
      </w:drawing>
    </w:r>
    <w:r w:rsidRPr="00271D2E">
      <w:rPr>
        <w:b/>
        <w:sz w:val="28"/>
      </w:rPr>
      <w:t>FCS Learning &amp; Teaching</w:t>
    </w:r>
  </w:p>
  <w:p w14:paraId="5E800478" w14:textId="548325CB" w:rsidR="00271D2E" w:rsidRPr="00271D2E" w:rsidRDefault="00271D2E">
    <w:pPr>
      <w:pStyle w:val="Header"/>
      <w:rPr>
        <w:b/>
      </w:rPr>
    </w:pPr>
    <w:r w:rsidRPr="00271D2E">
      <w:rPr>
        <w:b/>
      </w:rPr>
      <w:t>Instructional Lesson Plan</w:t>
    </w:r>
  </w:p>
  <w:p w14:paraId="464DC2F3" w14:textId="53050560" w:rsidR="00271D2E" w:rsidRPr="00271D2E" w:rsidRDefault="00271D2E">
    <w:pPr>
      <w:pStyle w:val="Header"/>
      <w:rPr>
        <w:b/>
      </w:rPr>
    </w:pPr>
    <w:r w:rsidRPr="00271D2E">
      <w:rPr>
        <w:b/>
      </w:rPr>
      <w:t>TPS Architects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170B" w14:textId="77777777" w:rsidR="00271D2E" w:rsidRDefault="00271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6E4"/>
    <w:multiLevelType w:val="hybridMultilevel"/>
    <w:tmpl w:val="B184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B4DE5"/>
    <w:multiLevelType w:val="hybridMultilevel"/>
    <w:tmpl w:val="A9B64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33B3A"/>
    <w:multiLevelType w:val="hybridMultilevel"/>
    <w:tmpl w:val="A38E1A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B131EE"/>
    <w:multiLevelType w:val="hybridMultilevel"/>
    <w:tmpl w:val="699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7677F"/>
    <w:multiLevelType w:val="hybridMultilevel"/>
    <w:tmpl w:val="96D04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8786">
    <w:abstractNumId w:val="4"/>
  </w:num>
  <w:num w:numId="2" w16cid:durableId="503907705">
    <w:abstractNumId w:val="1"/>
  </w:num>
  <w:num w:numId="3" w16cid:durableId="1373770561">
    <w:abstractNumId w:val="3"/>
  </w:num>
  <w:num w:numId="4" w16cid:durableId="2029484687">
    <w:abstractNumId w:val="0"/>
  </w:num>
  <w:num w:numId="5" w16cid:durableId="1742942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7A"/>
    <w:rsid w:val="00055751"/>
    <w:rsid w:val="000D5917"/>
    <w:rsid w:val="00122EE1"/>
    <w:rsid w:val="00161463"/>
    <w:rsid w:val="0019156A"/>
    <w:rsid w:val="001C3A7D"/>
    <w:rsid w:val="001E7F4F"/>
    <w:rsid w:val="00201B06"/>
    <w:rsid w:val="0022151E"/>
    <w:rsid w:val="00271D2E"/>
    <w:rsid w:val="002B271B"/>
    <w:rsid w:val="002F1EA5"/>
    <w:rsid w:val="002F5AF2"/>
    <w:rsid w:val="0033339F"/>
    <w:rsid w:val="003A2345"/>
    <w:rsid w:val="0048466F"/>
    <w:rsid w:val="005201E1"/>
    <w:rsid w:val="005448A1"/>
    <w:rsid w:val="005B480F"/>
    <w:rsid w:val="0062205D"/>
    <w:rsid w:val="006C1DE0"/>
    <w:rsid w:val="006D61CB"/>
    <w:rsid w:val="006D6C0C"/>
    <w:rsid w:val="006F0A03"/>
    <w:rsid w:val="00741E50"/>
    <w:rsid w:val="00790A72"/>
    <w:rsid w:val="007B7E2E"/>
    <w:rsid w:val="008D55AF"/>
    <w:rsid w:val="00913E7E"/>
    <w:rsid w:val="00961972"/>
    <w:rsid w:val="00984978"/>
    <w:rsid w:val="00986FE8"/>
    <w:rsid w:val="00996C49"/>
    <w:rsid w:val="00AC4EED"/>
    <w:rsid w:val="00B41561"/>
    <w:rsid w:val="00BA4B75"/>
    <w:rsid w:val="00BB216C"/>
    <w:rsid w:val="00BC7371"/>
    <w:rsid w:val="00BF04A9"/>
    <w:rsid w:val="00C26A7D"/>
    <w:rsid w:val="00D21109"/>
    <w:rsid w:val="00D479BF"/>
    <w:rsid w:val="00DF627A"/>
    <w:rsid w:val="00E74030"/>
    <w:rsid w:val="00E847D1"/>
    <w:rsid w:val="00EE5062"/>
    <w:rsid w:val="00FA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D9C06"/>
  <w15:chartTrackingRefBased/>
  <w15:docId w15:val="{204F385E-CF71-48B0-93E8-892670F6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5917"/>
    <w:pPr>
      <w:spacing w:after="0" w:line="240" w:lineRule="auto"/>
    </w:pPr>
  </w:style>
  <w:style w:type="character" w:styleId="PlaceholderText">
    <w:name w:val="Placeholder Text"/>
    <w:basedOn w:val="DefaultParagraphFont"/>
    <w:uiPriority w:val="99"/>
    <w:semiHidden/>
    <w:rsid w:val="005201E1"/>
    <w:rPr>
      <w:color w:val="808080"/>
    </w:rPr>
  </w:style>
  <w:style w:type="paragraph" w:styleId="Header">
    <w:name w:val="header"/>
    <w:basedOn w:val="Normal"/>
    <w:link w:val="HeaderChar"/>
    <w:uiPriority w:val="99"/>
    <w:unhideWhenUsed/>
    <w:rsid w:val="0027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2E"/>
  </w:style>
  <w:style w:type="paragraph" w:styleId="Footer">
    <w:name w:val="footer"/>
    <w:basedOn w:val="Normal"/>
    <w:link w:val="FooterChar"/>
    <w:uiPriority w:val="99"/>
    <w:unhideWhenUsed/>
    <w:rsid w:val="0027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2E"/>
  </w:style>
  <w:style w:type="character" w:styleId="Hyperlink">
    <w:name w:val="Hyperlink"/>
    <w:basedOn w:val="DefaultParagraphFont"/>
    <w:uiPriority w:val="99"/>
    <w:unhideWhenUsed/>
    <w:rsid w:val="00161463"/>
    <w:rPr>
      <w:color w:val="0563C1" w:themeColor="hyperlink"/>
      <w:u w:val="single"/>
    </w:rPr>
  </w:style>
  <w:style w:type="character" w:styleId="UnresolvedMention">
    <w:name w:val="Unresolved Mention"/>
    <w:basedOn w:val="DefaultParagraphFont"/>
    <w:uiPriority w:val="99"/>
    <w:semiHidden/>
    <w:unhideWhenUsed/>
    <w:rsid w:val="00161463"/>
    <w:rPr>
      <w:color w:val="808080"/>
      <w:shd w:val="clear" w:color="auto" w:fill="E6E6E6"/>
    </w:rPr>
  </w:style>
  <w:style w:type="character" w:styleId="FollowedHyperlink">
    <w:name w:val="FollowedHyperlink"/>
    <w:basedOn w:val="DefaultParagraphFont"/>
    <w:uiPriority w:val="99"/>
    <w:semiHidden/>
    <w:unhideWhenUsed/>
    <w:rsid w:val="00161463"/>
    <w:rPr>
      <w:color w:val="954F72" w:themeColor="followedHyperlink"/>
      <w:u w:val="single"/>
    </w:rPr>
  </w:style>
  <w:style w:type="paragraph" w:styleId="ListParagraph">
    <w:name w:val="List Paragraph"/>
    <w:basedOn w:val="Normal"/>
    <w:uiPriority w:val="34"/>
    <w:qFormat/>
    <w:rsid w:val="00961972"/>
    <w:pPr>
      <w:ind w:left="720"/>
      <w:contextualSpacing/>
    </w:pPr>
  </w:style>
  <w:style w:type="character" w:styleId="CommentReference">
    <w:name w:val="annotation reference"/>
    <w:basedOn w:val="DefaultParagraphFont"/>
    <w:uiPriority w:val="99"/>
    <w:semiHidden/>
    <w:unhideWhenUsed/>
    <w:rsid w:val="00122EE1"/>
    <w:rPr>
      <w:sz w:val="16"/>
      <w:szCs w:val="16"/>
    </w:rPr>
  </w:style>
  <w:style w:type="paragraph" w:styleId="CommentText">
    <w:name w:val="annotation text"/>
    <w:basedOn w:val="Normal"/>
    <w:link w:val="CommentTextChar"/>
    <w:uiPriority w:val="99"/>
    <w:semiHidden/>
    <w:unhideWhenUsed/>
    <w:rsid w:val="00122EE1"/>
    <w:pPr>
      <w:spacing w:line="240" w:lineRule="auto"/>
    </w:pPr>
    <w:rPr>
      <w:sz w:val="20"/>
      <w:szCs w:val="20"/>
    </w:rPr>
  </w:style>
  <w:style w:type="character" w:customStyle="1" w:styleId="CommentTextChar">
    <w:name w:val="Comment Text Char"/>
    <w:basedOn w:val="DefaultParagraphFont"/>
    <w:link w:val="CommentText"/>
    <w:uiPriority w:val="99"/>
    <w:semiHidden/>
    <w:rsid w:val="00122EE1"/>
    <w:rPr>
      <w:sz w:val="20"/>
      <w:szCs w:val="20"/>
    </w:rPr>
  </w:style>
  <w:style w:type="paragraph" w:styleId="CommentSubject">
    <w:name w:val="annotation subject"/>
    <w:basedOn w:val="CommentText"/>
    <w:next w:val="CommentText"/>
    <w:link w:val="CommentSubjectChar"/>
    <w:uiPriority w:val="99"/>
    <w:semiHidden/>
    <w:unhideWhenUsed/>
    <w:rsid w:val="00122EE1"/>
    <w:rPr>
      <w:b/>
      <w:bCs/>
    </w:rPr>
  </w:style>
  <w:style w:type="character" w:customStyle="1" w:styleId="CommentSubjectChar">
    <w:name w:val="Comment Subject Char"/>
    <w:basedOn w:val="CommentTextChar"/>
    <w:link w:val="CommentSubject"/>
    <w:uiPriority w:val="99"/>
    <w:semiHidden/>
    <w:rsid w:val="00122EE1"/>
    <w:rPr>
      <w:b/>
      <w:bCs/>
      <w:sz w:val="20"/>
      <w:szCs w:val="20"/>
    </w:rPr>
  </w:style>
  <w:style w:type="paragraph" w:styleId="BalloonText">
    <w:name w:val="Balloon Text"/>
    <w:basedOn w:val="Normal"/>
    <w:link w:val="BalloonTextChar"/>
    <w:uiPriority w:val="99"/>
    <w:semiHidden/>
    <w:unhideWhenUsed/>
    <w:rsid w:val="00122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c.gov/exhibits/naacp/prelude.html" TargetMode="External"/><Relationship Id="rId18" Type="http://schemas.openxmlformats.org/officeDocument/2006/relationships/hyperlink" Target="https://www.docsteach.org/documents/document/letter-mob-violenc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oc.gov/exhibits/naacp/prelude.html" TargetMode="External"/><Relationship Id="rId7" Type="http://schemas.openxmlformats.org/officeDocument/2006/relationships/webSettings" Target="webSettings.xml"/><Relationship Id="rId12" Type="http://schemas.openxmlformats.org/officeDocument/2006/relationships/hyperlink" Target="https://www.fultonschools.org/cms/lib/GA50000114/Centricity/domain/273/loc%20lesson%20plans/New%20South%20TPS%20Focus%20Lesson.pptx" TargetMode="External"/><Relationship Id="rId17" Type="http://schemas.openxmlformats.org/officeDocument/2006/relationships/hyperlink" Target="http://www.loc.gov/exhibits/naacp/prelud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erris.edu/HTMLS/news/jimcrow/pdfs-docs/origins/al_literacy.pdf" TargetMode="External"/><Relationship Id="rId20" Type="http://schemas.openxmlformats.org/officeDocument/2006/relationships/hyperlink" Target="https://fultonk12.sharepoint.com/:b:/s/tpsarchitectsgastudies/EVS15es_SJZGtsWnXwQYQBIBpc9nWEJ-R7TwJNBQvh1aqA?e=4%3anjK3UJ&amp;at=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ltonschools.org/cms/lib/GA50000114/Centricity/domain/273/loc%20lesson%20plans/Navigating%20Through%20Segregation%20Worksheet.doc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mericanhistory.si.edu/democracy-exhibition/vote-voice/keeping-vote/state-rules-federal-rules/poll-tax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ultonschools.org/cms/lib/GA50000114/Centricity/domain/273/loc%20lesson%20plans/Navigating%20Through%20Segregation%20TPS%20Focus%20Lesson.pptx" TargetMode="External"/><Relationship Id="rId19" Type="http://schemas.openxmlformats.org/officeDocument/2006/relationships/hyperlink" Target="https://fultonk12.sharepoint.com/:b:/s/tpsarchitectsgastudies/EZeGEcW5f95HhZL50wS0I48BFgyKC3tkHvrLYx6Kosbu0A?e=VRaT8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istorymatters.gmu.edu/d/5352/"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FD1B7-189E-4DF1-B985-7C1A9EDF7311}">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2.xml><?xml version="1.0" encoding="utf-8"?>
<ds:datastoreItem xmlns:ds="http://schemas.openxmlformats.org/officeDocument/2006/customXml" ds:itemID="{2B759F6F-E944-4338-BD59-005B196A0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F0923-BB86-4628-A9D9-EFA220267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Sibille, Jena</dc:creator>
  <cp:keywords/>
  <dc:description/>
  <cp:lastModifiedBy>Smith, Amanda (TMN)</cp:lastModifiedBy>
  <cp:revision>2</cp:revision>
  <dcterms:created xsi:type="dcterms:W3CDTF">2022-12-14T18:22:00Z</dcterms:created>
  <dcterms:modified xsi:type="dcterms:W3CDTF">2022-12-14T18:22:00Z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0x01010033EDB58F41E952478F1E3948D23C0C2A</vt:lpwstr>
  </property>
  <property fmtid="{D5CDD505-2E9C-101B-9397-08002B2CF9AE}" pid="3" name="MSIP_Label_0ee3c538-ec52-435f-ae58-017644bd9513_Enabled">
    <vt:lpwstr>true</vt:lpwstr>
  </property>
  <property fmtid="{D5CDD505-2E9C-101B-9397-08002B2CF9AE}" pid="4" name="MSIP_Label_0ee3c538-ec52-435f-ae58-017644bd9513_SetDate">
    <vt:lpwstr>2022-12-14T18:16:39Z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7f9d8c01-060f-488a-9845-1508c4286904</vt:lpwstr>
  </property>
  <property fmtid="{D5CDD505-2E9C-101B-9397-08002B2CF9AE}" pid="9" name="MSIP_Label_0ee3c538-ec52-435f-ae58-017644bd9513_ContentBits">
    <vt:lpwstr>0</vt:lpwstr>
  </property>
</Properties>
</file>