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53813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2019-2020 Hartwell Elementary Strategic Plan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sz w:val="36"/>
          <w:szCs w:val="36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Georgia Vision Project = GVP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20.0" w:type="dxa"/>
        <w:jc w:val="left"/>
        <w:tblInd w:w="0.0" w:type="dxa"/>
        <w:tblLayout w:type="fixed"/>
        <w:tblLook w:val="0400"/>
      </w:tblPr>
      <w:tblGrid>
        <w:gridCol w:w="260"/>
        <w:gridCol w:w="1720"/>
        <w:gridCol w:w="1980"/>
        <w:gridCol w:w="2400"/>
        <w:gridCol w:w="2880"/>
        <w:gridCol w:w="260"/>
        <w:gridCol w:w="2000"/>
        <w:gridCol w:w="800"/>
        <w:gridCol w:w="820"/>
        <w:gridCol w:w="1400"/>
        <w:tblGridChange w:id="0">
          <w:tblGrid>
            <w:gridCol w:w="260"/>
            <w:gridCol w:w="1720"/>
            <w:gridCol w:w="1980"/>
            <w:gridCol w:w="2400"/>
            <w:gridCol w:w="2880"/>
            <w:gridCol w:w="260"/>
            <w:gridCol w:w="2000"/>
            <w:gridCol w:w="800"/>
            <w:gridCol w:w="820"/>
            <w:gridCol w:w="1400"/>
          </w:tblGrid>
        </w:tblGridChange>
      </w:tblGrid>
      <w:tr>
        <w:trPr>
          <w:trHeight w:val="48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3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Name: Hartwell Elementary School</w:t>
            </w:r>
          </w:p>
        </w:tc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07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System Name: Hart County Charter System</w:t>
            </w:r>
          </w:p>
        </w:tc>
      </w:tr>
      <w:tr>
        <w:trPr>
          <w:trHeight w:val="48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D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Principal Name:  Lydia A. Bennett, Ed. S.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11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Year:  2019-2020</w:t>
            </w:r>
          </w:p>
        </w:tc>
      </w:tr>
      <w:tr>
        <w:trPr>
          <w:trHeight w:val="5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17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I School:  Yes</w:t>
            </w:r>
          </w:p>
        </w:tc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1B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Governance Team Meeting Date: 8/19/19                                   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1">
            <w:pPr>
              <w:spacing w:before="240" w:line="276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CCRPI Status:  2018 Score:   73.6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Graduation Rate: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B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 Climate Rating:  Three Stars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Executive Summary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highlight w:val="whit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Hartwell Elementary School serves grades Pre-K through fifth grade and is one of three elementary schools in the Hart County Charter System. Hartwell Elementary is home to approximately 540 students with an ethnicity of 47.0% White, 41.9% African American, 0% American Indian or Alaskan native, 1.2% Asian or Pacific Islander, 3.5% Hispanic, and 6.2% Two or more races. Of our student population, 52.4% are male and 47.6% are female. Approximately 4.6% of the student body is enrolled in and receive gifted education services and </w:t>
            </w:r>
            <w:r w:rsidDel="00000000" w:rsidR="00000000" w:rsidRPr="00000000">
              <w:rPr>
                <w:highlight w:val="white"/>
                <w:rtl w:val="0"/>
              </w:rPr>
              <w:t xml:space="preserve">12.0%</w:t>
            </w:r>
            <w:r w:rsidDel="00000000" w:rsidR="00000000" w:rsidRPr="00000000">
              <w:rPr>
                <w:rtl w:val="0"/>
              </w:rPr>
              <w:t xml:space="preserve"> receive special education services. </w:t>
            </w:r>
            <w:r w:rsidDel="00000000" w:rsidR="00000000" w:rsidRPr="00000000">
              <w:rPr>
                <w:highlight w:val="white"/>
                <w:rtl w:val="0"/>
              </w:rPr>
              <w:t xml:space="preserve">The teacher staff consists of 29 homeroom teachers, 7 teachers serving in support roles, and 10 </w:t>
            </w:r>
            <w:r w:rsidDel="00000000" w:rsidR="00000000" w:rsidRPr="00000000">
              <w:rPr>
                <w:rtl w:val="0"/>
              </w:rPr>
              <w:t xml:space="preserve">paraprofessionals.  The </w:t>
            </w:r>
            <w:r w:rsidDel="00000000" w:rsidR="00000000" w:rsidRPr="00000000">
              <w:rPr>
                <w:highlight w:val="white"/>
                <w:rtl w:val="0"/>
              </w:rPr>
              <w:t xml:space="preserve">current pupil/teacher ratio is approximately 18:1. The average homeroom class size is 18 students. Currently, at Hartwell, 68.55% of the student body qualifies for free or reduced lunch.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/>
            </w:pPr>
            <w:bookmarkStart w:colFirst="0" w:colLast="0" w:name="_z86bz65zk13t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43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Principal’s Signature:  </w:t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49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</w:tr>
      <w:tr>
        <w:trPr>
          <w:trHeight w:val="480" w:hRule="atLeast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D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3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57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Superintendent’s Signature:</w:t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D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Goal 1: Student Achievement</w:t>
      </w:r>
      <w:r w:rsidDel="00000000" w:rsidR="00000000" w:rsidRPr="00000000">
        <w:rPr>
          <w:rtl w:val="0"/>
        </w:rPr>
      </w:r>
    </w:p>
    <w:tbl>
      <w:tblPr>
        <w:tblStyle w:val="Table2"/>
        <w:tblW w:w="131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15"/>
        <w:gridCol w:w="4515"/>
        <w:gridCol w:w="4710"/>
        <w:tblGridChange w:id="0">
          <w:tblGrid>
            <w:gridCol w:w="3915"/>
            <w:gridCol w:w="4515"/>
            <w:gridCol w:w="4710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rtl w:val="0"/>
              </w:rPr>
              <w:t xml:space="preserve">Performance Objective 1.1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  <w:rtl w:val="0"/>
              </w:rPr>
              <w:t xml:space="preserve">: Increase Student Mastery of the Curriculum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Initiatives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b45f0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Coherent Instructional System (Standards Based Instruction)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br w:type="textWrapping"/>
              <w:t xml:space="preserve">GVP 4.1, 5.1, 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Literacy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Science, Technology, Engineering, Art, and Math (STEAM)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5.2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Action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Create,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Implement, and Monitor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Curriculum Maps, Pacing Guides, and Common Assessments for Core Content Courses (What We Teach)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Conduct Achievement Teams on a Consistent Basis at Each Grade Level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Implement and Refine School Based STEM/STEAM/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Project Based Learning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Plans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Implement and Monitor Components of Effective and Engaging Classrooms  (How We Teach)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Provide Professional Learning Related to Lucy Calkins Reading and Writing Model and Math Using Guided Math Kits to all K-5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Integrate Technology into All Core Content 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trike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Utilize Data to Inform Instruction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Increase Student Exposure to Literature in All Content Areas Including Writing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Provide Professional Learning Related to STEM/STEAM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/Project Based Learning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trike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Utilize Instructional Coaches to Improve Instruction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Increase Libraries in All Classrooms K-5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Implement Grade Level STEAM Units and Projects Consistently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0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5"/>
        <w:gridCol w:w="4620"/>
        <w:gridCol w:w="4680"/>
        <w:tblGridChange w:id="0">
          <w:tblGrid>
            <w:gridCol w:w="3795"/>
            <w:gridCol w:w="4620"/>
            <w:gridCol w:w="4680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rtl w:val="0"/>
              </w:rPr>
              <w:t xml:space="preserve">Performance Objective 1.2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  <w:rtl w:val="0"/>
              </w:rPr>
              <w:t xml:space="preserve">: Ensure Student Success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Initiatives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Achievement Gap Closure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High Expectations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 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trike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College &amp; Career Preparation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Provide and Monitor Academic Safety Nets for All Subgroups Through Effective Data Analysis Quarterly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Challenge Exceeding Students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Through Differentiated Instruction During Acceleration Blocks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Increase Lexile Reading Levels of All Students K-5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Meet or Exceed Subgroup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Provide Afterschool Tutoring in Grades K-5 in Math and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Increase Percentage of Students Reading on Grade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Monitor Response to Intervention (MTSS) Protocols and Practices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Establish MTSS Team and Participate In Professional Development Throughout The Year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trike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onitor Implementation of District Wide Character Education Program (Soft Skills) 7 Mindsets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604.0" w:type="dxa"/>
        <w:jc w:val="left"/>
        <w:tblInd w:w="0.0" w:type="dxa"/>
        <w:tblLayout w:type="fixed"/>
        <w:tblLook w:val="0000"/>
      </w:tblPr>
      <w:tblGrid>
        <w:gridCol w:w="13604"/>
        <w:tblGridChange w:id="0">
          <w:tblGrid>
            <w:gridCol w:w="13604"/>
          </w:tblGrid>
        </w:tblGridChange>
      </w:tblGrid>
      <w:tr>
        <w:trPr>
          <w:trHeight w:val="480" w:hRule="atLeast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Goal 2: School Climate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Family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/Community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Engagement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0"/>
        <w:gridCol w:w="4380"/>
        <w:gridCol w:w="4380"/>
        <w:tblGridChange w:id="0">
          <w:tblGrid>
            <w:gridCol w:w="4380"/>
            <w:gridCol w:w="4380"/>
            <w:gridCol w:w="4380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rtl w:val="0"/>
              </w:rPr>
              <w:t xml:space="preserve">Performance Objective 2.1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  <w:rtl w:val="0"/>
              </w:rPr>
              <w:t xml:space="preserve">: Ensure Safe, Positive, Nurturing, Educational Climate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Initiatives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School Climate and Culture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8.1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Safety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Discipline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(Student Learning Community)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Action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Seek Input from Staff to Improve the Culture and Climate of The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Implement and Monitor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Safety and Security Plans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Implement STAR Bucks for Students With PBIS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Utilize Stakeholder Feedback to Improve Stakeholder and Community Perception of The 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Improve Communication with Local Emergency Medical Services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Communicate Behavioral Expectations to Parents and Students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Improve Decision-Making Transparency Through Leadership Meetings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Provide Professional Learning in CPR, AED, and Mindset Physical Restraint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trike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Monitor Positive Behavioral Interventions and Supports (PBIS)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Implement Centegix Security Alert System for All Faculty and Staff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B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1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6.25"/>
        <w:gridCol w:w="3296.25"/>
        <w:gridCol w:w="3296.25"/>
        <w:gridCol w:w="3296.25"/>
        <w:tblGridChange w:id="0">
          <w:tblGrid>
            <w:gridCol w:w="3296.25"/>
            <w:gridCol w:w="3296.25"/>
            <w:gridCol w:w="3296.25"/>
            <w:gridCol w:w="3296.25"/>
          </w:tblGrid>
        </w:tblGridChange>
      </w:tblGrid>
      <w:tr>
        <w:trPr>
          <w:trHeight w:val="2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rtl w:val="0"/>
              </w:rPr>
              <w:t xml:space="preserve">Performance Objective 2.2: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  <w:rtl w:val="0"/>
              </w:rPr>
              <w:t xml:space="preserve">Improve and Increase Stakeholder Involvement</w:t>
            </w:r>
          </w:p>
        </w:tc>
      </w:tr>
      <w:tr>
        <w:trPr>
          <w:trHeight w:val="2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Initiatives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Communication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Parent Outreach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School Governance Teams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7.4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Opportunities to Share District Information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2.1</w:t>
            </w:r>
          </w:p>
        </w:tc>
      </w:tr>
      <w:tr>
        <w:trPr>
          <w:trHeight w:val="2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Action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Update, Publish, and Monitor Communication Plans for the School and the 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Provide Purposeful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trike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Parent and Family Engagement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Opportunities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Share Communication Plans with Governance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Work With Community Relations Director to Promote School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Increase Internal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/External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Create and Share School Specific Google Calendar for Parents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Schedule School Governance Training Opportunities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Maintain Effective District School Website and Other Social Media Outlets</w:t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604.0" w:type="dxa"/>
        <w:jc w:val="left"/>
        <w:tblInd w:w="0.0" w:type="dxa"/>
        <w:tblLayout w:type="fixed"/>
        <w:tblLook w:val="0000"/>
      </w:tblPr>
      <w:tblGrid>
        <w:gridCol w:w="13604"/>
        <w:tblGridChange w:id="0">
          <w:tblGrid>
            <w:gridCol w:w="13604"/>
          </w:tblGrid>
        </w:tblGridChange>
      </w:tblGrid>
      <w:tr>
        <w:trPr>
          <w:trHeight w:val="480" w:hRule="atLeast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Goal 3: Efficient and Effective Operational Support Functions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1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0"/>
        <w:gridCol w:w="4380"/>
        <w:gridCol w:w="4380"/>
        <w:tblGridChange w:id="0">
          <w:tblGrid>
            <w:gridCol w:w="4380"/>
            <w:gridCol w:w="4380"/>
            <w:gridCol w:w="4380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rtl w:val="0"/>
              </w:rPr>
              <w:t xml:space="preserve">Performance Objective 3.1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  <w:rtl w:val="0"/>
              </w:rPr>
              <w:t xml:space="preserve">: Identify and Prioritize Resources to Improve Academic Success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Initiatives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Fiscal Management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9.2, 9.3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Resource Management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Resource Utilization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Action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Include All Employees in the Budgeting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Maintain Facilities Replacement Plan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Improve Staff Attendance (Substitutes)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Monitor Equity of Resource Allocations Among Grade Levels and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Maintain Physical Inventory of Resources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Research Building Expansions for Future Growth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9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2610"/>
        <w:gridCol w:w="3000"/>
        <w:gridCol w:w="4725"/>
        <w:tblGridChange w:id="0">
          <w:tblGrid>
            <w:gridCol w:w="2610"/>
            <w:gridCol w:w="2610"/>
            <w:gridCol w:w="3000"/>
            <w:gridCol w:w="4725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rtl w:val="0"/>
              </w:rPr>
              <w:t xml:space="preserve">Performance Objective 3.2: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  <w:rtl w:val="0"/>
              </w:rPr>
              <w:t xml:space="preserve">Improve Student Support Functions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Initiatives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School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Transportation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Maintenance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Technology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4.2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Monitor The School and Gather Input From Stakeholders About The Grounds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Provide Quality Technology Training to Faculty and Staff for Use of Technology In The Classroom</w:t>
            </w:r>
          </w:p>
        </w:tc>
      </w:tr>
    </w:tbl>
    <w:p w:rsidR="00000000" w:rsidDel="00000000" w:rsidP="00000000" w:rsidRDefault="00000000" w:rsidRPr="00000000" w14:paraId="000000F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604.0" w:type="dxa"/>
        <w:jc w:val="left"/>
        <w:tblInd w:w="0.0" w:type="dxa"/>
        <w:tblLayout w:type="fixed"/>
        <w:tblLook w:val="0000"/>
      </w:tblPr>
      <w:tblGrid>
        <w:gridCol w:w="13604"/>
        <w:tblGridChange w:id="0">
          <w:tblGrid>
            <w:gridCol w:w="13604"/>
          </w:tblGrid>
        </w:tblGridChange>
      </w:tblGrid>
      <w:tr>
        <w:trPr>
          <w:trHeight w:val="480" w:hRule="atLeast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Goal 4: Continuous System and School Improvement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1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77.5"/>
        <w:gridCol w:w="6577.5"/>
        <w:tblGridChange w:id="0">
          <w:tblGrid>
            <w:gridCol w:w="6577.5"/>
            <w:gridCol w:w="6577.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rtl w:val="0"/>
              </w:rPr>
              <w:t xml:space="preserve">Performance Objective 4.1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  <w:rtl w:val="0"/>
              </w:rPr>
              <w:t xml:space="preserve">: Sustain a High Quality Workforce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Initiatives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Employee Development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 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Leadership Capacity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GVP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Action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trike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Provide Differentiated Professional Learning Opportunities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Conduct High Quality Leadership Team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Attract and Retain Effective Teachers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trike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Develop Internal Leaders Through Implementation of Leadership Teams and Acheivement Teams at Each Grade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Participate in Annual GLISI Cohort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and Create a Plan of Action to Address Identified Deficits at HES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1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0"/>
        <w:gridCol w:w="4370"/>
        <w:gridCol w:w="4370"/>
        <w:tblGridChange w:id="0">
          <w:tblGrid>
            <w:gridCol w:w="4370"/>
            <w:gridCol w:w="4370"/>
            <w:gridCol w:w="4370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4"/>
                <w:szCs w:val="24"/>
                <w:rtl w:val="0"/>
              </w:rPr>
              <w:t xml:space="preserve">Performance Objective 4.2: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38135"/>
                <w:sz w:val="24"/>
                <w:szCs w:val="24"/>
                <w:rtl w:val="0"/>
              </w:rPr>
              <w:t xml:space="preserve">Ensure Continuous Improvement and Performance Accountability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Initiatives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Strategic Improvement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Board of Education (BOE)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Charter</w:t>
            </w:r>
          </w:p>
        </w:tc>
      </w:tr>
      <w:tr>
        <w:trPr>
          <w:trHeight w:val="2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Action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Publish School Strategic Plan  and HES School Improvement Plans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Approve School Strategic Plan and Provide Support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Familiarize Stakeholders with Charter Plan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Monitor Professional Learning Opportunities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Provide Support and Resources for Professional Development Opportunities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Utilize Charter Flexibility to Effectively Meet the Needs of Students</w:t>
            </w:r>
          </w:p>
        </w:tc>
      </w:tr>
    </w:tbl>
    <w:p w:rsidR="00000000" w:rsidDel="00000000" w:rsidP="00000000" w:rsidRDefault="00000000" w:rsidRPr="00000000" w14:paraId="0000012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2240" w:w="15840"/>
      <w:pgMar w:bottom="360" w:top="3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