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Eastern Heights Elementary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Family-Friendly SCIP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2023-2024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4680"/>
        <w:gridCol w:w="5115"/>
        <w:tblGridChange w:id="0">
          <w:tblGrid>
            <w:gridCol w:w="4515"/>
            <w:gridCol w:w="4680"/>
            <w:gridCol w:w="51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365f9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Standards Based Instruction: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Reading &amp; Math</w:t>
            </w:r>
          </w:p>
        </w:tc>
        <w:tc>
          <w:tcPr>
            <w:shd w:fill="365f9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Family Engagement and Stakeholder Input</w:t>
            </w:r>
          </w:p>
        </w:tc>
        <w:tc>
          <w:tcPr>
            <w:shd w:fill="365f9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Data Based Accountability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Focused professional development on instructional practices based on explicit,systematic,sequential foundational core reading skills instruction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Concentration on phonics instruction in primary and intermediate grades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highlight w:val="white"/>
                <w:rtl w:val="0"/>
              </w:rPr>
              <w:t xml:space="preserve">Guided Reading practice in all components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highlight w:val="white"/>
                <w:rtl w:val="0"/>
              </w:rPr>
              <w:t xml:space="preserve">Focus on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HMH Into Math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explicit, systematic and sequential core math instruction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highlight w:val="white"/>
                <w:rtl w:val="0"/>
              </w:rPr>
              <w:t xml:space="preserve">Small Differentiated Reading and Math Groups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Professional Learning Communities focused on instructional practices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0"/>
                <w:szCs w:val="20"/>
                <w:rtl w:val="0"/>
              </w:rPr>
              <w:t xml:space="preserve">Professional Learning Communities on using student data to improve instruction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Family Engagement Team will provide opportunities for more stakeholder voices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Professional Development will be provided for staff on how to create effective family engagement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Family Engagement Team will work to share data from events, surveys, and feedback with all stakeholders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Family Engagement Team will monitor the implementation of SCIP and Family Engagement Plan, adding new action steps as they are identified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Family Engagement Team will work to gather feedback, data and information for decision-making for students, staff and parents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Family Engagement Team will participate in a variety of ways to gather feedback from families to develop meaningful culturally relevant opportunities for family involvement activities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Family Engagement Team will work to align programs with best practices in Math Review and Guided Reading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before="128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Communication systems will be aligned to include updated webpage, calendar, flyers and regular newsletters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Building Teams (Instructional Leadership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Family Engagement, School Climate and Culture,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PBIS</w:t>
            </w:r>
            <w:r w:rsidDel="00000000" w:rsidR="00000000" w:rsidRPr="00000000">
              <w:rPr>
                <w:rFonts w:ascii="Arial" w:cs="Arial" w:eastAsia="Arial" w:hAnsi="Arial"/>
                <w:color w:val="3c78d8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Attendance, Child Study and Student Assistance/SAT) will all establish goals and plans that align with the district Strategic Plan, school SCIP and Title I expectations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Staff will participate in Professional Development on data analysis protocols and documentation expectations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SCIP plan reviewed and modified periodically to ensure that the plan is current and being implemented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Implementation of instructional practices will be regularly monitored and supported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Teams will ensure there is opportunity for all voices to be involved in school decisions.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Eastern Heights Elementary</w:t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Family-Friendly SCIP</w:t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2023-2024</w:t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HMONG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Eastern Heights Elementary</w:t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Family-Friendly SCIP</w:t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2023-2024</w:t>
      </w:r>
    </w:p>
    <w:p w:rsidR="00000000" w:rsidDel="00000000" w:rsidP="00000000" w:rsidRDefault="00000000" w:rsidRPr="00000000" w14:paraId="0000002C">
      <w:pPr>
        <w:pageBreakBefore w:val="0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SOMALI</w:t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Eastern Heights Elementary</w:t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Family-Friendly SCIP</w:t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2023-2024</w:t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left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SPANISH</w:t>
      </w:r>
    </w:p>
    <w:p w:rsidR="00000000" w:rsidDel="00000000" w:rsidP="00000000" w:rsidRDefault="00000000" w:rsidRPr="00000000" w14:paraId="00000035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Eastern Heights Elementary</w:t>
      </w:r>
    </w:p>
    <w:p w:rsidR="00000000" w:rsidDel="00000000" w:rsidP="00000000" w:rsidRDefault="00000000" w:rsidRPr="00000000" w14:paraId="00000038">
      <w:pPr>
        <w:pageBreakBefore w:val="0"/>
        <w:jc w:val="center"/>
        <w:rPr>
          <w:rFonts w:ascii="Arial" w:cs="Arial" w:eastAsia="Arial" w:hAnsi="Arial"/>
          <w:b w:val="1"/>
          <w:color w:val="365f9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36"/>
          <w:szCs w:val="36"/>
          <w:rtl w:val="0"/>
        </w:rPr>
        <w:t xml:space="preserve">Family-Friendly SCIP</w:t>
      </w:r>
    </w:p>
    <w:p w:rsidR="00000000" w:rsidDel="00000000" w:rsidP="00000000" w:rsidRDefault="00000000" w:rsidRPr="00000000" w14:paraId="00000039">
      <w:pPr>
        <w:pageBreakBefore w:val="0"/>
        <w:jc w:val="center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2023-2024</w:t>
      </w:r>
    </w:p>
    <w:p w:rsidR="00000000" w:rsidDel="00000000" w:rsidP="00000000" w:rsidRDefault="00000000" w:rsidRPr="00000000" w14:paraId="0000003A">
      <w:pPr>
        <w:pageBreakBefore w:val="0"/>
        <w:jc w:val="center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Arial" w:cs="Arial" w:eastAsia="Arial" w:hAnsi="Arial"/>
          <w:b w:val="1"/>
          <w:color w:val="719a3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19a3f"/>
          <w:sz w:val="28"/>
          <w:szCs w:val="28"/>
          <w:rtl w:val="0"/>
        </w:rPr>
        <w:t xml:space="preserve">KAREN</w:t>
      </w:r>
    </w:p>
    <w:p w:rsidR="00000000" w:rsidDel="00000000" w:rsidP="00000000" w:rsidRDefault="00000000" w:rsidRPr="00000000" w14:paraId="0000003C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530"/>
      </w:tabs>
      <w:spacing w:after="0" w:before="0" w:line="240" w:lineRule="auto"/>
      <w:ind w:left="-1800" w:right="-180" w:firstLine="0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60"/>
        <w:szCs w:val="6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48"/>
        <w:szCs w:val="4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