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36F01" w14:textId="24B57800" w:rsidR="009C09E4" w:rsidRDefault="00182278" w:rsidP="00182278">
      <w:pPr>
        <w:jc w:val="center"/>
        <w:rPr>
          <w:sz w:val="44"/>
          <w:szCs w:val="44"/>
        </w:rPr>
      </w:pPr>
      <w:r>
        <w:rPr>
          <w:sz w:val="44"/>
          <w:szCs w:val="44"/>
        </w:rPr>
        <w:t xml:space="preserve">Ready Start </w:t>
      </w:r>
      <w:r w:rsidR="0099460B">
        <w:rPr>
          <w:sz w:val="44"/>
          <w:szCs w:val="44"/>
        </w:rPr>
        <w:t>Calcasieu</w:t>
      </w:r>
    </w:p>
    <w:p w14:paraId="3AF67200" w14:textId="77777777" w:rsidR="00182278" w:rsidRDefault="00182278" w:rsidP="00182278">
      <w:pPr>
        <w:jc w:val="center"/>
        <w:rPr>
          <w:sz w:val="44"/>
          <w:szCs w:val="44"/>
        </w:rPr>
      </w:pPr>
      <w:r>
        <w:rPr>
          <w:sz w:val="44"/>
          <w:szCs w:val="44"/>
        </w:rPr>
        <w:t>Blueprint</w:t>
      </w:r>
    </w:p>
    <w:p w14:paraId="1B802E69" w14:textId="77777777" w:rsidR="00182278" w:rsidRDefault="00182278" w:rsidP="00182278">
      <w:pPr>
        <w:jc w:val="center"/>
        <w:rPr>
          <w:sz w:val="44"/>
          <w:szCs w:val="44"/>
        </w:rPr>
      </w:pPr>
    </w:p>
    <w:p w14:paraId="1F8145C4" w14:textId="77777777" w:rsidR="00182278" w:rsidRDefault="00182278" w:rsidP="00182278">
      <w:pPr>
        <w:jc w:val="center"/>
        <w:rPr>
          <w:sz w:val="44"/>
          <w:szCs w:val="44"/>
        </w:rPr>
      </w:pPr>
    </w:p>
    <w:p w14:paraId="3D5E3EF4" w14:textId="77777777" w:rsidR="00182278" w:rsidRDefault="00182278" w:rsidP="00182278">
      <w:pPr>
        <w:jc w:val="center"/>
        <w:rPr>
          <w:sz w:val="44"/>
          <w:szCs w:val="44"/>
        </w:rPr>
      </w:pPr>
    </w:p>
    <w:p w14:paraId="63A1ECCE" w14:textId="77777777" w:rsidR="00182278" w:rsidRDefault="00182278" w:rsidP="00182278">
      <w:pPr>
        <w:jc w:val="center"/>
        <w:rPr>
          <w:sz w:val="44"/>
          <w:szCs w:val="44"/>
        </w:rPr>
      </w:pPr>
      <w:bookmarkStart w:id="0" w:name="_GoBack"/>
      <w:bookmarkEnd w:id="0"/>
    </w:p>
    <w:p w14:paraId="560696B1" w14:textId="5A18410E" w:rsidR="00182278" w:rsidRDefault="001359F4" w:rsidP="00182278">
      <w:pPr>
        <w:jc w:val="center"/>
        <w:rPr>
          <w:sz w:val="44"/>
          <w:szCs w:val="44"/>
        </w:rPr>
      </w:pPr>
      <w:r>
        <w:rPr>
          <w:noProof/>
        </w:rPr>
        <w:drawing>
          <wp:inline distT="0" distB="0" distL="0" distR="0" wp14:anchorId="6F848B6D" wp14:editId="151B2E68">
            <wp:extent cx="3086100" cy="3121572"/>
            <wp:effectExtent l="0" t="0" r="0" b="3175"/>
            <wp:docPr id="2" name="Picture 2" descr="Calcasieu Parish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asieu Parish Public School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077" cy="3127618"/>
                    </a:xfrm>
                    <a:prstGeom prst="rect">
                      <a:avLst/>
                    </a:prstGeom>
                    <a:noFill/>
                    <a:ln>
                      <a:noFill/>
                    </a:ln>
                  </pic:spPr>
                </pic:pic>
              </a:graphicData>
            </a:graphic>
          </wp:inline>
        </w:drawing>
      </w:r>
    </w:p>
    <w:p w14:paraId="55CFE7CE" w14:textId="77777777" w:rsidR="00182278" w:rsidRDefault="00182278" w:rsidP="00182278">
      <w:pPr>
        <w:jc w:val="center"/>
        <w:rPr>
          <w:sz w:val="44"/>
          <w:szCs w:val="44"/>
        </w:rPr>
      </w:pPr>
    </w:p>
    <w:p w14:paraId="23FCAC12" w14:textId="77777777" w:rsidR="00182278" w:rsidRDefault="00182278" w:rsidP="00182278">
      <w:pPr>
        <w:jc w:val="center"/>
        <w:rPr>
          <w:sz w:val="44"/>
          <w:szCs w:val="44"/>
        </w:rPr>
      </w:pPr>
    </w:p>
    <w:p w14:paraId="2F61E709" w14:textId="77777777" w:rsidR="00182278" w:rsidRDefault="00182278" w:rsidP="00182278">
      <w:pPr>
        <w:jc w:val="center"/>
        <w:rPr>
          <w:sz w:val="44"/>
          <w:szCs w:val="44"/>
        </w:rPr>
      </w:pPr>
    </w:p>
    <w:p w14:paraId="41016D65" w14:textId="7C26516D" w:rsidR="00182278" w:rsidRPr="001359F4" w:rsidRDefault="00CA07B9" w:rsidP="001359F4">
      <w:pPr>
        <w:ind w:left="5040" w:firstLine="720"/>
        <w:rPr>
          <w:sz w:val="44"/>
          <w:szCs w:val="44"/>
        </w:rPr>
      </w:pPr>
      <w:r>
        <w:rPr>
          <w:sz w:val="44"/>
          <w:szCs w:val="44"/>
        </w:rPr>
        <w:t>February 1, 2020</w:t>
      </w:r>
    </w:p>
    <w:p w14:paraId="7700C762" w14:textId="77777777" w:rsidR="001359F4" w:rsidRDefault="001359F4" w:rsidP="00182278">
      <w:pPr>
        <w:rPr>
          <w:b/>
          <w:bCs/>
          <w:sz w:val="32"/>
          <w:szCs w:val="32"/>
        </w:rPr>
      </w:pPr>
    </w:p>
    <w:p w14:paraId="6ECE947B" w14:textId="10D5D95F" w:rsidR="00182278" w:rsidRPr="00182278" w:rsidRDefault="00182278" w:rsidP="00182278">
      <w:pPr>
        <w:rPr>
          <w:b/>
          <w:bCs/>
          <w:sz w:val="32"/>
          <w:szCs w:val="32"/>
        </w:rPr>
      </w:pPr>
      <w:r w:rsidRPr="00182278">
        <w:rPr>
          <w:b/>
          <w:bCs/>
          <w:sz w:val="32"/>
          <w:szCs w:val="32"/>
        </w:rPr>
        <w:lastRenderedPageBreak/>
        <w:t>Introduction</w:t>
      </w:r>
    </w:p>
    <w:p w14:paraId="3497FD07" w14:textId="1E0243E5" w:rsidR="00F44708" w:rsidRDefault="0077055B" w:rsidP="00182278">
      <w:r>
        <w:t>Ready Start Calcasieu</w:t>
      </w:r>
      <w:r w:rsidR="0041055F">
        <w:t xml:space="preserve"> is made up of a diverse group of education providers, in the City of Lake Charles, Sulphur, Dequincy, and Iowa. In addition to our education providers, we have existing partnerships with community organizations that provide support programs and resources to our network. Our 75 sites and community partners have worked together to implement the five key strategies identified by Act 3 of the 2012 legislature to ensure that more children enter kindergarten ready to succeed. </w:t>
      </w:r>
    </w:p>
    <w:p w14:paraId="7DD768E3" w14:textId="32C23958" w:rsidR="0017307B" w:rsidRDefault="00B507B8" w:rsidP="006B4302">
      <w:pPr>
        <w:spacing w:after="0" w:line="240" w:lineRule="auto"/>
        <w:jc w:val="both"/>
        <w:rPr>
          <w:sz w:val="24"/>
          <w:szCs w:val="24"/>
        </w:rPr>
      </w:pPr>
      <w:r>
        <w:rPr>
          <w:sz w:val="24"/>
          <w:szCs w:val="24"/>
        </w:rPr>
        <w:t>Ready Start Calcasieu seeks to build on the progress already being made. More than</w:t>
      </w:r>
      <w:r w:rsidR="0017307B">
        <w:rPr>
          <w:sz w:val="24"/>
          <w:szCs w:val="24"/>
        </w:rPr>
        <w:t xml:space="preserve"> half of Calcasieu Parish </w:t>
      </w:r>
      <w:r>
        <w:rPr>
          <w:sz w:val="24"/>
          <w:szCs w:val="24"/>
        </w:rPr>
        <w:t>3</w:t>
      </w:r>
      <w:r w:rsidRPr="00E32734">
        <w:rPr>
          <w:sz w:val="24"/>
          <w:szCs w:val="24"/>
          <w:vertAlign w:val="superscript"/>
        </w:rPr>
        <w:t>rd</w:t>
      </w:r>
      <w:r>
        <w:rPr>
          <w:sz w:val="24"/>
          <w:szCs w:val="24"/>
        </w:rPr>
        <w:t xml:space="preserve"> grade </w:t>
      </w:r>
      <w:r w:rsidR="0017307B">
        <w:rPr>
          <w:sz w:val="24"/>
          <w:szCs w:val="24"/>
        </w:rPr>
        <w:t xml:space="preserve">students are </w:t>
      </w:r>
      <w:r>
        <w:rPr>
          <w:sz w:val="24"/>
          <w:szCs w:val="24"/>
        </w:rPr>
        <w:t xml:space="preserve">scoring Mastery and Above on ELA exams, which is up 18% from 2015-2016. </w:t>
      </w:r>
      <w:r w:rsidR="001F023F">
        <w:rPr>
          <w:sz w:val="24"/>
          <w:szCs w:val="24"/>
        </w:rPr>
        <w:t>While 70% of students demonstrate Kindergarten readiness</w:t>
      </w:r>
      <w:r w:rsidR="001F023F" w:rsidRPr="001F023F">
        <w:rPr>
          <w:sz w:val="24"/>
          <w:szCs w:val="24"/>
        </w:rPr>
        <w:t xml:space="preserve"> </w:t>
      </w:r>
      <w:r w:rsidR="001F023F">
        <w:rPr>
          <w:sz w:val="24"/>
          <w:szCs w:val="24"/>
        </w:rPr>
        <w:t xml:space="preserve">according to </w:t>
      </w:r>
      <w:r w:rsidR="000E31F8">
        <w:rPr>
          <w:sz w:val="24"/>
          <w:szCs w:val="24"/>
        </w:rPr>
        <w:t>Desired Results Developmental Profile-Kindergarten (</w:t>
      </w:r>
      <w:r w:rsidR="001F023F">
        <w:rPr>
          <w:sz w:val="24"/>
          <w:szCs w:val="24"/>
        </w:rPr>
        <w:t>DRDP</w:t>
      </w:r>
      <w:r w:rsidR="000E31F8">
        <w:rPr>
          <w:sz w:val="24"/>
          <w:szCs w:val="24"/>
        </w:rPr>
        <w:t>-K)</w:t>
      </w:r>
      <w:r w:rsidR="001F023F">
        <w:rPr>
          <w:sz w:val="24"/>
          <w:szCs w:val="24"/>
        </w:rPr>
        <w:t xml:space="preserve"> scores,</w:t>
      </w:r>
      <w:r>
        <w:rPr>
          <w:sz w:val="24"/>
          <w:szCs w:val="24"/>
        </w:rPr>
        <w:t xml:space="preserve"> nearly 45% of students entering Kindergarten are starting behind their peers</w:t>
      </w:r>
      <w:r w:rsidR="001F023F">
        <w:rPr>
          <w:sz w:val="24"/>
          <w:szCs w:val="24"/>
        </w:rPr>
        <w:t xml:space="preserve"> in literacy, a key indicator for future success</w:t>
      </w:r>
      <w:r>
        <w:rPr>
          <w:rStyle w:val="FootnoteReference"/>
          <w:sz w:val="24"/>
          <w:szCs w:val="24"/>
        </w:rPr>
        <w:footnoteReference w:id="1"/>
      </w:r>
      <w:r>
        <w:rPr>
          <w:sz w:val="24"/>
          <w:szCs w:val="24"/>
        </w:rPr>
        <w:t xml:space="preserve">.  </w:t>
      </w:r>
    </w:p>
    <w:p w14:paraId="636551BF" w14:textId="77777777" w:rsidR="0017307B" w:rsidRDefault="0017307B" w:rsidP="006B4302">
      <w:pPr>
        <w:spacing w:after="0" w:line="240" w:lineRule="auto"/>
        <w:jc w:val="both"/>
        <w:rPr>
          <w:sz w:val="24"/>
          <w:szCs w:val="24"/>
        </w:rPr>
      </w:pPr>
    </w:p>
    <w:p w14:paraId="55203B67" w14:textId="4BDFCA6B" w:rsidR="006B4302" w:rsidRPr="00B4348F" w:rsidRDefault="006B4302" w:rsidP="006B4302">
      <w:pPr>
        <w:spacing w:after="0" w:line="240" w:lineRule="auto"/>
        <w:jc w:val="both"/>
        <w:rPr>
          <w:sz w:val="24"/>
          <w:szCs w:val="24"/>
        </w:rPr>
      </w:pPr>
      <w:r w:rsidRPr="00B4348F">
        <w:rPr>
          <w:sz w:val="24"/>
          <w:szCs w:val="24"/>
        </w:rPr>
        <w:t xml:space="preserve">Ready Start </w:t>
      </w:r>
      <w:r>
        <w:rPr>
          <w:sz w:val="24"/>
          <w:szCs w:val="24"/>
        </w:rPr>
        <w:t xml:space="preserve">Calcasieu </w:t>
      </w:r>
      <w:r w:rsidRPr="00B4348F">
        <w:rPr>
          <w:sz w:val="24"/>
          <w:szCs w:val="24"/>
        </w:rPr>
        <w:t xml:space="preserve">brings together partners to continuously improve the quality of and access to early childhood opportunities in their community. We are driven by local data and context to: </w:t>
      </w:r>
    </w:p>
    <w:p w14:paraId="5093D421" w14:textId="77777777" w:rsidR="006B4302" w:rsidRPr="00B4348F" w:rsidRDefault="006B4302" w:rsidP="006B4302">
      <w:pPr>
        <w:pStyle w:val="ListParagraph"/>
        <w:numPr>
          <w:ilvl w:val="0"/>
          <w:numId w:val="6"/>
        </w:numPr>
        <w:spacing w:after="0" w:line="240" w:lineRule="auto"/>
        <w:jc w:val="both"/>
        <w:rPr>
          <w:sz w:val="24"/>
          <w:szCs w:val="24"/>
        </w:rPr>
      </w:pPr>
      <w:r w:rsidRPr="00B4348F">
        <w:rPr>
          <w:sz w:val="24"/>
          <w:szCs w:val="24"/>
        </w:rPr>
        <w:t xml:space="preserve">develop intentional plans, </w:t>
      </w:r>
    </w:p>
    <w:p w14:paraId="523DDD8A" w14:textId="77777777" w:rsidR="006B4302" w:rsidRPr="00B4348F" w:rsidRDefault="006B4302" w:rsidP="006B4302">
      <w:pPr>
        <w:pStyle w:val="ListParagraph"/>
        <w:numPr>
          <w:ilvl w:val="0"/>
          <w:numId w:val="6"/>
        </w:numPr>
        <w:spacing w:after="0" w:line="240" w:lineRule="auto"/>
        <w:jc w:val="both"/>
        <w:rPr>
          <w:sz w:val="24"/>
          <w:szCs w:val="24"/>
        </w:rPr>
      </w:pPr>
      <w:r w:rsidRPr="00B4348F">
        <w:rPr>
          <w:sz w:val="24"/>
          <w:szCs w:val="24"/>
        </w:rPr>
        <w:t>secure and weave together resources</w:t>
      </w:r>
      <w:r>
        <w:rPr>
          <w:sz w:val="24"/>
          <w:szCs w:val="24"/>
        </w:rPr>
        <w:t>;</w:t>
      </w:r>
      <w:r w:rsidRPr="00B4348F">
        <w:rPr>
          <w:sz w:val="24"/>
          <w:szCs w:val="24"/>
        </w:rPr>
        <w:t xml:space="preserve"> and </w:t>
      </w:r>
    </w:p>
    <w:p w14:paraId="2A68D206" w14:textId="77777777" w:rsidR="006B4302" w:rsidRPr="00B4348F" w:rsidRDefault="006B4302" w:rsidP="006B4302">
      <w:pPr>
        <w:pStyle w:val="ListParagraph"/>
        <w:numPr>
          <w:ilvl w:val="0"/>
          <w:numId w:val="6"/>
        </w:numPr>
        <w:spacing w:after="0" w:line="240" w:lineRule="auto"/>
        <w:jc w:val="both"/>
        <w:rPr>
          <w:sz w:val="24"/>
          <w:szCs w:val="24"/>
        </w:rPr>
      </w:pPr>
      <w:r w:rsidRPr="00B4348F">
        <w:rPr>
          <w:sz w:val="24"/>
          <w:szCs w:val="24"/>
        </w:rPr>
        <w:t xml:space="preserve">implement creative solutions. </w:t>
      </w:r>
    </w:p>
    <w:p w14:paraId="37E17C51" w14:textId="77777777" w:rsidR="006B4302" w:rsidRDefault="006B4302" w:rsidP="000C38DA">
      <w:pPr>
        <w:pStyle w:val="ListParagraph"/>
        <w:ind w:left="0"/>
      </w:pPr>
    </w:p>
    <w:p w14:paraId="606AF7A8" w14:textId="02ABC5C5" w:rsidR="006B4302" w:rsidRDefault="006B4302" w:rsidP="000C38DA">
      <w:pPr>
        <w:pStyle w:val="ListParagraph"/>
        <w:ind w:left="0"/>
      </w:pPr>
      <w:r>
        <w:t xml:space="preserve">To that end, Ready Start Calcasieu submits the following Blueprint for early childhood education. </w:t>
      </w:r>
    </w:p>
    <w:p w14:paraId="5086C82C" w14:textId="3F9E5A8A" w:rsidR="006B4302" w:rsidRPr="002A6A55" w:rsidRDefault="006B4302" w:rsidP="006B4302">
      <w:pPr>
        <w:rPr>
          <w:b/>
          <w:bCs/>
          <w:sz w:val="32"/>
          <w:szCs w:val="32"/>
          <w:highlight w:val="yellow"/>
        </w:rPr>
      </w:pPr>
      <w:r w:rsidRPr="006B4302">
        <w:rPr>
          <w:b/>
          <w:bCs/>
          <w:sz w:val="32"/>
          <w:szCs w:val="32"/>
        </w:rPr>
        <w:t xml:space="preserve"> </w:t>
      </w:r>
      <w:r w:rsidRPr="00E434B1">
        <w:rPr>
          <w:b/>
          <w:bCs/>
          <w:sz w:val="32"/>
          <w:szCs w:val="32"/>
        </w:rPr>
        <w:t>Calcasieu Early Childhood Landscape</w:t>
      </w:r>
    </w:p>
    <w:p w14:paraId="577BAE98" w14:textId="639BC594" w:rsidR="0017307B" w:rsidRDefault="002A6A55" w:rsidP="002A6A55">
      <w:r>
        <w:t xml:space="preserve">The most recent data available (2017-2018), shows that </w:t>
      </w:r>
      <w:r w:rsidR="003B74B6">
        <w:t xml:space="preserve">Calcasieu’s </w:t>
      </w:r>
      <w:r>
        <w:t>network served 1,927 publicly funded children (birth through age five) in child care,</w:t>
      </w:r>
      <w:r w:rsidR="00692C57">
        <w:t xml:space="preserve"> Head Start, public school, and non-public school.</w:t>
      </w:r>
      <w:r>
        <w:t xml:space="preserve"> </w:t>
      </w:r>
      <w:r w:rsidR="00692C57">
        <w:t xml:space="preserve"> Calcasieu Parish serves 65% of the 4 years old at risk population in our area, but only 10% of the birth to three years old. </w:t>
      </w:r>
    </w:p>
    <w:p w14:paraId="3AFC3C35" w14:textId="6EFAF07D" w:rsidR="003B74B6" w:rsidRDefault="00692C57" w:rsidP="002A6A55">
      <w:r>
        <w:t>In terms of quality,</w:t>
      </w:r>
      <w:r w:rsidR="003B74B6">
        <w:t xml:space="preserve"> in 2017-2018, 83.6% of the 32 sites were reported at the proficient level or above. Quality has increased since the start of early Childhood Performance Profile ratings began in 2015. </w:t>
      </w:r>
      <w:r w:rsidR="0017307B">
        <w:t xml:space="preserve">A childcare survey conducted </w:t>
      </w:r>
      <w:r w:rsidR="0017307B" w:rsidRPr="00431CB9">
        <w:t>in 2019 found that</w:t>
      </w:r>
      <w:r w:rsidR="0017307B">
        <w:t xml:space="preserve"> teacher turnover was a significant challenge to quality, and teachers desire more intensive coaching. </w:t>
      </w:r>
    </w:p>
    <w:p w14:paraId="567881CC" w14:textId="77777777" w:rsidR="0017307B" w:rsidRDefault="0017307B" w:rsidP="002A6A55"/>
    <w:tbl>
      <w:tblPr>
        <w:tblStyle w:val="TableGrid"/>
        <w:tblW w:w="0" w:type="auto"/>
        <w:tblLook w:val="04A0" w:firstRow="1" w:lastRow="0" w:firstColumn="1" w:lastColumn="0" w:noHBand="0" w:noVBand="1"/>
      </w:tblPr>
      <w:tblGrid>
        <w:gridCol w:w="2913"/>
        <w:gridCol w:w="1326"/>
        <w:gridCol w:w="1755"/>
        <w:gridCol w:w="1755"/>
        <w:gridCol w:w="1601"/>
      </w:tblGrid>
      <w:tr w:rsidR="003B74B6" w14:paraId="5E1DC4FD" w14:textId="1E8D2889" w:rsidTr="003B74B6">
        <w:tc>
          <w:tcPr>
            <w:tcW w:w="2988" w:type="dxa"/>
          </w:tcPr>
          <w:p w14:paraId="2E00D7D6" w14:textId="39EB6385" w:rsidR="003B74B6" w:rsidRPr="003B74B6" w:rsidRDefault="003B74B6" w:rsidP="002A6A55">
            <w:pPr>
              <w:rPr>
                <w:b/>
              </w:rPr>
            </w:pPr>
            <w:r w:rsidRPr="003B74B6">
              <w:rPr>
                <w:b/>
              </w:rPr>
              <w:t>2018-2019 LDE data</w:t>
            </w:r>
            <w:r>
              <w:rPr>
                <w:b/>
              </w:rPr>
              <w:t xml:space="preserve"> estimates</w:t>
            </w:r>
          </w:p>
        </w:tc>
        <w:tc>
          <w:tcPr>
            <w:tcW w:w="1350" w:type="dxa"/>
          </w:tcPr>
          <w:p w14:paraId="7164EF33" w14:textId="1265109E" w:rsidR="003B74B6" w:rsidRPr="003B74B6" w:rsidRDefault="003B74B6" w:rsidP="002A6A55">
            <w:pPr>
              <w:rPr>
                <w:b/>
              </w:rPr>
            </w:pPr>
            <w:r w:rsidRPr="003B74B6">
              <w:rPr>
                <w:b/>
              </w:rPr>
              <w:t>Infant</w:t>
            </w:r>
          </w:p>
        </w:tc>
        <w:tc>
          <w:tcPr>
            <w:tcW w:w="1800" w:type="dxa"/>
          </w:tcPr>
          <w:p w14:paraId="48397C26" w14:textId="5D68A768" w:rsidR="003B74B6" w:rsidRPr="003B74B6" w:rsidRDefault="003B74B6" w:rsidP="002A6A55">
            <w:pPr>
              <w:rPr>
                <w:b/>
              </w:rPr>
            </w:pPr>
            <w:r w:rsidRPr="003B74B6">
              <w:rPr>
                <w:b/>
              </w:rPr>
              <w:t>One year olds</w:t>
            </w:r>
          </w:p>
        </w:tc>
        <w:tc>
          <w:tcPr>
            <w:tcW w:w="1800" w:type="dxa"/>
          </w:tcPr>
          <w:p w14:paraId="605CAB20" w14:textId="02645049" w:rsidR="003B74B6" w:rsidRPr="003B74B6" w:rsidRDefault="003B74B6" w:rsidP="002A6A55">
            <w:pPr>
              <w:rPr>
                <w:b/>
              </w:rPr>
            </w:pPr>
            <w:r w:rsidRPr="003B74B6">
              <w:rPr>
                <w:b/>
              </w:rPr>
              <w:t>Two year olds</w:t>
            </w:r>
          </w:p>
        </w:tc>
        <w:tc>
          <w:tcPr>
            <w:tcW w:w="1638" w:type="dxa"/>
          </w:tcPr>
          <w:p w14:paraId="2858D1A3" w14:textId="299CC33B" w:rsidR="003B74B6" w:rsidRPr="003B74B6" w:rsidRDefault="003B74B6" w:rsidP="002A6A55">
            <w:pPr>
              <w:rPr>
                <w:b/>
              </w:rPr>
            </w:pPr>
            <w:r w:rsidRPr="003B74B6">
              <w:rPr>
                <w:b/>
              </w:rPr>
              <w:t>Three year olds</w:t>
            </w:r>
          </w:p>
        </w:tc>
      </w:tr>
      <w:tr w:rsidR="003B74B6" w14:paraId="15E00F85" w14:textId="726F17BA" w:rsidTr="003B74B6">
        <w:tc>
          <w:tcPr>
            <w:tcW w:w="2988" w:type="dxa"/>
          </w:tcPr>
          <w:p w14:paraId="371AF9FF" w14:textId="2FCE972F" w:rsidR="003B74B6" w:rsidRPr="003B74B6" w:rsidRDefault="003B74B6" w:rsidP="002A6A55">
            <w:pPr>
              <w:rPr>
                <w:b/>
              </w:rPr>
            </w:pPr>
            <w:r w:rsidRPr="003B74B6">
              <w:rPr>
                <w:b/>
              </w:rPr>
              <w:t>At-risk population</w:t>
            </w:r>
          </w:p>
        </w:tc>
        <w:tc>
          <w:tcPr>
            <w:tcW w:w="1350" w:type="dxa"/>
          </w:tcPr>
          <w:p w14:paraId="20F58E8B" w14:textId="12EB250A" w:rsidR="003B74B6" w:rsidRDefault="003B74B6" w:rsidP="002A6A55">
            <w:r>
              <w:t>1,796</w:t>
            </w:r>
          </w:p>
        </w:tc>
        <w:tc>
          <w:tcPr>
            <w:tcW w:w="1800" w:type="dxa"/>
          </w:tcPr>
          <w:p w14:paraId="076A3B59" w14:textId="4F7E8153" w:rsidR="003B74B6" w:rsidRDefault="003B74B6" w:rsidP="002A6A55">
            <w:r>
              <w:t>1,796</w:t>
            </w:r>
          </w:p>
        </w:tc>
        <w:tc>
          <w:tcPr>
            <w:tcW w:w="1800" w:type="dxa"/>
          </w:tcPr>
          <w:p w14:paraId="11737870" w14:textId="4334220C" w:rsidR="003B74B6" w:rsidRDefault="003B74B6" w:rsidP="002A6A55">
            <w:r>
              <w:t>1,796</w:t>
            </w:r>
          </w:p>
        </w:tc>
        <w:tc>
          <w:tcPr>
            <w:tcW w:w="1638" w:type="dxa"/>
          </w:tcPr>
          <w:p w14:paraId="2AEE3FA5" w14:textId="420AF87B" w:rsidR="003B74B6" w:rsidRDefault="003B74B6" w:rsidP="002A6A55">
            <w:r>
              <w:t>1,796</w:t>
            </w:r>
          </w:p>
        </w:tc>
      </w:tr>
      <w:tr w:rsidR="003B74B6" w14:paraId="026543B1" w14:textId="110C6733" w:rsidTr="003B74B6">
        <w:tc>
          <w:tcPr>
            <w:tcW w:w="2988" w:type="dxa"/>
          </w:tcPr>
          <w:p w14:paraId="4FC028F2" w14:textId="238AAED5" w:rsidR="003B74B6" w:rsidRPr="003B74B6" w:rsidRDefault="003B74B6" w:rsidP="002A6A55">
            <w:pPr>
              <w:rPr>
                <w:b/>
              </w:rPr>
            </w:pPr>
            <w:r w:rsidRPr="003B74B6">
              <w:rPr>
                <w:b/>
              </w:rPr>
              <w:t>Number served</w:t>
            </w:r>
          </w:p>
        </w:tc>
        <w:tc>
          <w:tcPr>
            <w:tcW w:w="1350" w:type="dxa"/>
          </w:tcPr>
          <w:p w14:paraId="19EFBEA2" w14:textId="008A12FD" w:rsidR="003B74B6" w:rsidRDefault="00F53E19" w:rsidP="002A6A55">
            <w:r>
              <w:t>23</w:t>
            </w:r>
          </w:p>
        </w:tc>
        <w:tc>
          <w:tcPr>
            <w:tcW w:w="1800" w:type="dxa"/>
          </w:tcPr>
          <w:p w14:paraId="1D7103DA" w14:textId="4B283F7F" w:rsidR="003B74B6" w:rsidRDefault="00F53E19" w:rsidP="002A6A55">
            <w:r>
              <w:t>88</w:t>
            </w:r>
          </w:p>
        </w:tc>
        <w:tc>
          <w:tcPr>
            <w:tcW w:w="1800" w:type="dxa"/>
          </w:tcPr>
          <w:p w14:paraId="13AD821D" w14:textId="35F61768" w:rsidR="003B74B6" w:rsidRDefault="00F53E19" w:rsidP="002A6A55">
            <w:r>
              <w:t>134</w:t>
            </w:r>
          </w:p>
        </w:tc>
        <w:tc>
          <w:tcPr>
            <w:tcW w:w="1638" w:type="dxa"/>
          </w:tcPr>
          <w:p w14:paraId="23DFC33B" w14:textId="48352D51" w:rsidR="003B74B6" w:rsidRDefault="003B74B6" w:rsidP="002A6A55">
            <w:r>
              <w:t>506 (28%)</w:t>
            </w:r>
          </w:p>
        </w:tc>
      </w:tr>
      <w:tr w:rsidR="003B74B6" w14:paraId="40C1AB57" w14:textId="5A516EA5" w:rsidTr="003B74B6">
        <w:tc>
          <w:tcPr>
            <w:tcW w:w="2988" w:type="dxa"/>
          </w:tcPr>
          <w:p w14:paraId="01E296C6" w14:textId="2A9ADEE0" w:rsidR="003B74B6" w:rsidRPr="003B74B6" w:rsidRDefault="003B74B6" w:rsidP="002A6A55">
            <w:pPr>
              <w:rPr>
                <w:b/>
              </w:rPr>
            </w:pPr>
            <w:r w:rsidRPr="003B74B6">
              <w:rPr>
                <w:b/>
              </w:rPr>
              <w:t>Number served in “high quality” sites</w:t>
            </w:r>
          </w:p>
        </w:tc>
        <w:tc>
          <w:tcPr>
            <w:tcW w:w="1350" w:type="dxa"/>
          </w:tcPr>
          <w:p w14:paraId="6CBEE99E" w14:textId="1D62156D" w:rsidR="003B74B6" w:rsidRDefault="00431CB9" w:rsidP="002A6A55">
            <w:r>
              <w:t>16</w:t>
            </w:r>
          </w:p>
        </w:tc>
        <w:tc>
          <w:tcPr>
            <w:tcW w:w="1800" w:type="dxa"/>
          </w:tcPr>
          <w:p w14:paraId="7315525E" w14:textId="6E0D4330" w:rsidR="003B74B6" w:rsidRDefault="00431CB9" w:rsidP="002A6A55">
            <w:r>
              <w:t>69</w:t>
            </w:r>
          </w:p>
        </w:tc>
        <w:tc>
          <w:tcPr>
            <w:tcW w:w="1800" w:type="dxa"/>
          </w:tcPr>
          <w:p w14:paraId="1405E227" w14:textId="1E68A6EF" w:rsidR="003B74B6" w:rsidRDefault="00ED2F3F" w:rsidP="002A6A55">
            <w:r>
              <w:t xml:space="preserve">  </w:t>
            </w:r>
            <w:r w:rsidR="00431CB9">
              <w:t>93</w:t>
            </w:r>
          </w:p>
        </w:tc>
        <w:tc>
          <w:tcPr>
            <w:tcW w:w="1638" w:type="dxa"/>
          </w:tcPr>
          <w:p w14:paraId="010EA356" w14:textId="358D5654" w:rsidR="003B74B6" w:rsidRDefault="003B74B6" w:rsidP="002A6A55">
            <w:r>
              <w:t>486 (27%)</w:t>
            </w:r>
          </w:p>
        </w:tc>
      </w:tr>
    </w:tbl>
    <w:p w14:paraId="39601F11" w14:textId="77777777" w:rsidR="0017307B" w:rsidRDefault="0017307B" w:rsidP="002A6A55"/>
    <w:p w14:paraId="3401F045" w14:textId="0A5D182D" w:rsidR="002A6A55" w:rsidRDefault="0017307B" w:rsidP="004D5802">
      <w:r>
        <w:lastRenderedPageBreak/>
        <w:t xml:space="preserve">Data shows there are opportunities for growth in both access and quality to ensure all of Calcasieu Parish’s young children are ready for Kindergarten. Although improvements have been made and more children have been served in recent years in the birth to three range, Ready Start Calcasieu seeks to close the remaining gaps. </w:t>
      </w:r>
      <w:r w:rsidR="002A6A55">
        <w:t xml:space="preserve">Despite </w:t>
      </w:r>
      <w:r>
        <w:t>a less significant</w:t>
      </w:r>
      <w:r w:rsidR="002A6A55">
        <w:t xml:space="preserve"> gap, current efforts are</w:t>
      </w:r>
      <w:r>
        <w:t xml:space="preserve"> aimed</w:t>
      </w:r>
      <w:r w:rsidR="002A6A55">
        <w:t xml:space="preserve"> to address the quality and access gap at the three years old age range first</w:t>
      </w:r>
      <w:r w:rsidR="00E32734">
        <w:t xml:space="preserve">. This is due to the number of </w:t>
      </w:r>
      <w:r w:rsidR="004D5802">
        <w:t>three-year</w:t>
      </w:r>
      <w:r w:rsidR="00E32734">
        <w:t xml:space="preserve"> classrooms in our community with teachers with ancillary certificates or higher certifications.   </w:t>
      </w:r>
    </w:p>
    <w:p w14:paraId="0B0B9230" w14:textId="51E89A9F" w:rsidR="00182278" w:rsidRPr="00182278" w:rsidRDefault="00182278" w:rsidP="00182278">
      <w:pPr>
        <w:rPr>
          <w:b/>
          <w:bCs/>
          <w:sz w:val="32"/>
          <w:szCs w:val="32"/>
        </w:rPr>
      </w:pPr>
      <w:r w:rsidRPr="00182278">
        <w:rPr>
          <w:b/>
          <w:bCs/>
          <w:sz w:val="32"/>
          <w:szCs w:val="32"/>
        </w:rPr>
        <w:t>Guiding Statements</w:t>
      </w:r>
    </w:p>
    <w:p w14:paraId="55F4046B" w14:textId="6C5F38B3" w:rsidR="00182278" w:rsidRPr="0084368C" w:rsidRDefault="00182278" w:rsidP="00182278">
      <w:r w:rsidRPr="0084368C">
        <w:t xml:space="preserve">Vision: </w:t>
      </w:r>
      <w:r w:rsidR="0077055B">
        <w:t>Ready Start Calcasieu</w:t>
      </w:r>
      <w:r w:rsidR="00DC52AC">
        <w:t xml:space="preserve"> will build a collaborative, supportive network that actively engages with a variety of community partners</w:t>
      </w:r>
      <w:r w:rsidR="006F3BD6">
        <w:t xml:space="preserve"> in order for every child in Calcasieu Parish to start Kindergarten ready for success and continue on to graduate from high school.</w:t>
      </w:r>
    </w:p>
    <w:p w14:paraId="0D5A5391" w14:textId="05122E50" w:rsidR="00182278" w:rsidRDefault="00182278" w:rsidP="00182278">
      <w:r w:rsidRPr="0084368C">
        <w:t>Mission:</w:t>
      </w:r>
      <w:r w:rsidR="006F3BD6">
        <w:t xml:space="preserve">  </w:t>
      </w:r>
      <w:r w:rsidR="00DF6AEA">
        <w:t>The mission of Ready Start Calcasieu is to d</w:t>
      </w:r>
      <w:r w:rsidR="006F3BD6">
        <w:t>evelop the capacity of families, communities, and public and private agencies to provide c</w:t>
      </w:r>
      <w:r w:rsidR="00DC52AC">
        <w:t xml:space="preserve">ontinual improvement and access to quality care for all of Calcasieu’s youngest </w:t>
      </w:r>
      <w:r w:rsidR="006B4302">
        <w:t xml:space="preserve">residents </w:t>
      </w:r>
      <w:r w:rsidR="00DC52AC">
        <w:t>birth to age five</w:t>
      </w:r>
      <w:r w:rsidR="006F3BD6">
        <w:t xml:space="preserve"> that ensures they enter school healthy and ready to succeed.</w:t>
      </w:r>
      <w:r w:rsidR="00DC52AC">
        <w:t xml:space="preserve"> </w:t>
      </w:r>
    </w:p>
    <w:p w14:paraId="5D449B38" w14:textId="77777777" w:rsidR="00182278" w:rsidRDefault="00182278" w:rsidP="00182278">
      <w:pPr>
        <w:rPr>
          <w:b/>
          <w:bCs/>
          <w:sz w:val="32"/>
          <w:szCs w:val="32"/>
        </w:rPr>
      </w:pPr>
      <w:r w:rsidRPr="00182278">
        <w:rPr>
          <w:b/>
          <w:bCs/>
          <w:sz w:val="32"/>
          <w:szCs w:val="32"/>
        </w:rPr>
        <w:t>Strategic Plan</w:t>
      </w:r>
    </w:p>
    <w:p w14:paraId="2C03A05E" w14:textId="48936CCD" w:rsidR="00182278" w:rsidRPr="002A6A55" w:rsidRDefault="00182278" w:rsidP="00182278">
      <w:pPr>
        <w:rPr>
          <w:b/>
        </w:rPr>
      </w:pPr>
      <w:r w:rsidRPr="002A6A55">
        <w:rPr>
          <w:b/>
        </w:rPr>
        <w:t xml:space="preserve">Goal 1: </w:t>
      </w:r>
      <w:r w:rsidR="008D1156">
        <w:rPr>
          <w:b/>
        </w:rPr>
        <w:t xml:space="preserve">By 2022, </w:t>
      </w:r>
      <w:r w:rsidR="00344DDD">
        <w:rPr>
          <w:b/>
        </w:rPr>
        <w:t>90</w:t>
      </w:r>
      <w:r w:rsidR="008D1156">
        <w:rPr>
          <w:b/>
        </w:rPr>
        <w:t xml:space="preserve">% </w:t>
      </w:r>
      <w:r w:rsidR="0041055F" w:rsidRPr="002A6A55">
        <w:rPr>
          <w:b/>
        </w:rPr>
        <w:t xml:space="preserve">of </w:t>
      </w:r>
      <w:r w:rsidR="008D1156">
        <w:rPr>
          <w:b/>
        </w:rPr>
        <w:t xml:space="preserve">the </w:t>
      </w:r>
      <w:r w:rsidR="0041055F" w:rsidRPr="002A6A55">
        <w:rPr>
          <w:b/>
        </w:rPr>
        <w:t>sites</w:t>
      </w:r>
      <w:r w:rsidR="008D1156">
        <w:rPr>
          <w:b/>
        </w:rPr>
        <w:t xml:space="preserve"> in Calcasieu Parish</w:t>
      </w:r>
      <w:r w:rsidR="00431CB9">
        <w:rPr>
          <w:b/>
        </w:rPr>
        <w:t xml:space="preserve"> </w:t>
      </w:r>
      <w:r w:rsidR="008D1156">
        <w:rPr>
          <w:b/>
        </w:rPr>
        <w:t xml:space="preserve">will have an overall rating of </w:t>
      </w:r>
      <w:r w:rsidR="00431CB9">
        <w:rPr>
          <w:b/>
        </w:rPr>
        <w:t>proficient or higher</w:t>
      </w:r>
      <w:r w:rsidR="0041055F" w:rsidRPr="002A6A55">
        <w:rPr>
          <w:b/>
        </w:rPr>
        <w:t xml:space="preserve"> through increased professional development and strategic coaching cycle.</w:t>
      </w:r>
    </w:p>
    <w:p w14:paraId="748F08E0" w14:textId="77777777" w:rsidR="0041055F" w:rsidRPr="0041055F" w:rsidRDefault="0041055F" w:rsidP="0041055F">
      <w:pPr>
        <w:numPr>
          <w:ilvl w:val="0"/>
          <w:numId w:val="3"/>
        </w:numPr>
        <w:pBdr>
          <w:top w:val="nil"/>
          <w:left w:val="nil"/>
          <w:bottom w:val="nil"/>
          <w:right w:val="nil"/>
          <w:between w:val="nil"/>
        </w:pBdr>
        <w:spacing w:after="0"/>
        <w:rPr>
          <w:rFonts w:ascii="Calibri" w:eastAsia="Calibri" w:hAnsi="Calibri" w:cs="Calibri"/>
        </w:rPr>
      </w:pPr>
      <w:r w:rsidRPr="0041055F">
        <w:rPr>
          <w:rFonts w:ascii="Calibri" w:eastAsia="Calibri" w:hAnsi="Calibri" w:cs="Calibri"/>
        </w:rPr>
        <w:t>Use data-driven coaching process to increase quality through tiered coaching and goal setting.</w:t>
      </w:r>
    </w:p>
    <w:p w14:paraId="2E54777B" w14:textId="77777777" w:rsidR="0041055F" w:rsidRPr="0041055F" w:rsidRDefault="0041055F" w:rsidP="0041055F">
      <w:pPr>
        <w:numPr>
          <w:ilvl w:val="0"/>
          <w:numId w:val="3"/>
        </w:numPr>
        <w:pBdr>
          <w:top w:val="nil"/>
          <w:left w:val="nil"/>
          <w:bottom w:val="nil"/>
          <w:right w:val="nil"/>
          <w:between w:val="nil"/>
        </w:pBdr>
        <w:spacing w:after="0"/>
        <w:rPr>
          <w:rFonts w:ascii="Calibri" w:eastAsia="Calibri" w:hAnsi="Calibri" w:cs="Calibri"/>
        </w:rPr>
      </w:pPr>
      <w:r w:rsidRPr="0041055F">
        <w:rPr>
          <w:rFonts w:ascii="Calibri" w:eastAsia="Calibri" w:hAnsi="Calibri" w:cs="Calibri"/>
        </w:rPr>
        <w:t xml:space="preserve">Increase offerings of professional development training to include more evening and weekend group professional development sessions. </w:t>
      </w:r>
    </w:p>
    <w:p w14:paraId="79787821" w14:textId="77777777" w:rsidR="0041055F" w:rsidRPr="0041055F" w:rsidRDefault="0041055F" w:rsidP="0041055F">
      <w:pPr>
        <w:numPr>
          <w:ilvl w:val="0"/>
          <w:numId w:val="3"/>
        </w:numPr>
        <w:pBdr>
          <w:top w:val="nil"/>
          <w:left w:val="nil"/>
          <w:bottom w:val="nil"/>
          <w:right w:val="nil"/>
          <w:between w:val="nil"/>
        </w:pBdr>
        <w:spacing w:after="0"/>
        <w:rPr>
          <w:rFonts w:ascii="Calibri" w:eastAsia="Calibri" w:hAnsi="Calibri" w:cs="Calibri"/>
        </w:rPr>
      </w:pPr>
      <w:r w:rsidRPr="0041055F">
        <w:rPr>
          <w:rFonts w:ascii="Calibri" w:eastAsia="Calibri" w:hAnsi="Calibri" w:cs="Calibri"/>
        </w:rPr>
        <w:t>Use tiered approach to regularly evaluate sites’ growth and needs and monitor progress through CLASS data portal, LDOE Data tool kits, Data Binders, and Data walls.</w:t>
      </w:r>
    </w:p>
    <w:p w14:paraId="1DA59103" w14:textId="77777777" w:rsidR="0041055F" w:rsidRPr="0041055F" w:rsidRDefault="0041055F" w:rsidP="0041055F">
      <w:pPr>
        <w:numPr>
          <w:ilvl w:val="0"/>
          <w:numId w:val="3"/>
        </w:numPr>
        <w:pBdr>
          <w:top w:val="nil"/>
          <w:left w:val="nil"/>
          <w:bottom w:val="nil"/>
          <w:right w:val="nil"/>
          <w:between w:val="nil"/>
        </w:pBdr>
        <w:spacing w:after="0"/>
        <w:rPr>
          <w:rFonts w:ascii="Calibri" w:eastAsia="Calibri" w:hAnsi="Calibri" w:cs="Calibri"/>
        </w:rPr>
      </w:pPr>
      <w:r w:rsidRPr="0041055F">
        <w:rPr>
          <w:rFonts w:ascii="Calibri" w:eastAsia="Calibri" w:hAnsi="Calibri" w:cs="Calibri"/>
        </w:rPr>
        <w:t xml:space="preserve">Reward teacher and site growth and increase coaching cycle intensity where needed based on progress monitoring. </w:t>
      </w:r>
    </w:p>
    <w:p w14:paraId="433FD988" w14:textId="77777777" w:rsidR="00182278" w:rsidRPr="0084368C" w:rsidRDefault="00182278" w:rsidP="00182278">
      <w:r w:rsidRPr="0084368C">
        <w:t>Resources:</w:t>
      </w:r>
    </w:p>
    <w:p w14:paraId="658F2B85" w14:textId="77777777" w:rsidR="0041055F" w:rsidRPr="0041055F" w:rsidRDefault="0041055F" w:rsidP="0041055F">
      <w:pPr>
        <w:numPr>
          <w:ilvl w:val="0"/>
          <w:numId w:val="4"/>
        </w:numPr>
        <w:pBdr>
          <w:top w:val="nil"/>
          <w:left w:val="nil"/>
          <w:bottom w:val="nil"/>
          <w:right w:val="nil"/>
          <w:between w:val="nil"/>
        </w:pBdr>
        <w:spacing w:after="0"/>
        <w:rPr>
          <w:rFonts w:ascii="Calibri" w:eastAsia="Calibri" w:hAnsi="Calibri" w:cs="Calibri"/>
        </w:rPr>
      </w:pPr>
      <w:r w:rsidRPr="0041055F">
        <w:rPr>
          <w:rFonts w:ascii="Calibri" w:eastAsia="Calibri" w:hAnsi="Calibri" w:cs="Calibri"/>
          <w:color w:val="000000"/>
        </w:rPr>
        <w:t>Existing: Coaching Cycle and process, professional development schedule with weekends and evening trainings for group coaching, regular data chats to monitor progress.</w:t>
      </w:r>
    </w:p>
    <w:p w14:paraId="40858B0C" w14:textId="77777777" w:rsidR="0041055F" w:rsidRPr="0041055F" w:rsidRDefault="0041055F" w:rsidP="0041055F">
      <w:pPr>
        <w:numPr>
          <w:ilvl w:val="0"/>
          <w:numId w:val="4"/>
        </w:numPr>
        <w:pBdr>
          <w:top w:val="nil"/>
          <w:left w:val="nil"/>
          <w:bottom w:val="nil"/>
          <w:right w:val="nil"/>
          <w:between w:val="nil"/>
        </w:pBdr>
        <w:rPr>
          <w:rFonts w:ascii="Calibri" w:eastAsia="Calibri" w:hAnsi="Calibri" w:cs="Calibri"/>
        </w:rPr>
      </w:pPr>
      <w:r w:rsidRPr="0041055F">
        <w:rPr>
          <w:rFonts w:ascii="Calibri" w:eastAsia="Calibri" w:hAnsi="Calibri" w:cs="Calibri"/>
          <w:color w:val="000000"/>
        </w:rPr>
        <w:t>Needed: Increase coaching staff, increase offerings of evening and weekend professional development training, and deepen coaching cycles.</w:t>
      </w:r>
    </w:p>
    <w:p w14:paraId="3CF92F94" w14:textId="6D451AD7" w:rsidR="00182278" w:rsidRPr="0084368C" w:rsidRDefault="00182278" w:rsidP="00182278">
      <w:r w:rsidRPr="0084368C">
        <w:t>Performance Metrics:</w:t>
      </w:r>
      <w:r w:rsidR="00FD7816">
        <w:t xml:space="preserve"> Increase in quality early childhood education as measured through CLASS scores</w:t>
      </w:r>
      <w:r w:rsidR="00FD7816">
        <w:rPr>
          <w:sz w:val="24"/>
          <w:szCs w:val="24"/>
        </w:rPr>
        <w:t xml:space="preserve">, </w:t>
      </w:r>
      <w:r w:rsidR="000C38DA">
        <w:rPr>
          <w:sz w:val="24"/>
          <w:szCs w:val="24"/>
        </w:rPr>
        <w:t xml:space="preserve">teacher credentials, </w:t>
      </w:r>
      <w:r w:rsidR="00FD7816" w:rsidRPr="007D39CA">
        <w:rPr>
          <w:sz w:val="24"/>
          <w:szCs w:val="24"/>
        </w:rPr>
        <w:t>the number of teachers trained</w:t>
      </w:r>
      <w:r w:rsidR="00FD7816">
        <w:rPr>
          <w:sz w:val="24"/>
          <w:szCs w:val="24"/>
        </w:rPr>
        <w:t xml:space="preserve"> or participate in coaching activities</w:t>
      </w:r>
      <w:r w:rsidR="00FD7816" w:rsidRPr="007D39CA">
        <w:rPr>
          <w:sz w:val="24"/>
          <w:szCs w:val="24"/>
        </w:rPr>
        <w:t xml:space="preserve">, the number of programs </w:t>
      </w:r>
      <w:r w:rsidR="00FD7816">
        <w:rPr>
          <w:sz w:val="24"/>
          <w:szCs w:val="24"/>
        </w:rPr>
        <w:t>that are highly proficient.</w:t>
      </w:r>
    </w:p>
    <w:p w14:paraId="5BB45DBD" w14:textId="7A4690B7" w:rsidR="0041055F" w:rsidRPr="0041055F" w:rsidRDefault="00182278" w:rsidP="0041055F">
      <w:pPr>
        <w:rPr>
          <w:rFonts w:ascii="Calibri" w:eastAsia="Calibri" w:hAnsi="Calibri" w:cs="Calibri"/>
        </w:rPr>
      </w:pPr>
      <w:r w:rsidRPr="00F25F39">
        <w:rPr>
          <w:b/>
        </w:rPr>
        <w:t>Goal 2:</w:t>
      </w:r>
      <w:r w:rsidR="0032132F">
        <w:t xml:space="preserve"> </w:t>
      </w:r>
      <w:r w:rsidR="006579C1" w:rsidRPr="007D39CA">
        <w:rPr>
          <w:b/>
          <w:sz w:val="24"/>
          <w:szCs w:val="24"/>
        </w:rPr>
        <w:t xml:space="preserve">Diversify </w:t>
      </w:r>
      <w:r w:rsidR="006579C1">
        <w:rPr>
          <w:b/>
          <w:sz w:val="24"/>
          <w:szCs w:val="24"/>
        </w:rPr>
        <w:t>and i</w:t>
      </w:r>
      <w:r w:rsidR="006579C1" w:rsidRPr="007D39CA">
        <w:rPr>
          <w:b/>
          <w:sz w:val="24"/>
          <w:szCs w:val="24"/>
        </w:rPr>
        <w:t>ncrease funding for early childhood</w:t>
      </w:r>
      <w:r w:rsidR="006579C1">
        <w:rPr>
          <w:b/>
          <w:sz w:val="24"/>
          <w:szCs w:val="24"/>
        </w:rPr>
        <w:t xml:space="preserve"> education</w:t>
      </w:r>
    </w:p>
    <w:p w14:paraId="317D0AEE" w14:textId="6C08C227" w:rsidR="0041055F" w:rsidRPr="000C38DA" w:rsidRDefault="0041055F" w:rsidP="0041055F">
      <w:pPr>
        <w:numPr>
          <w:ilvl w:val="0"/>
          <w:numId w:val="3"/>
        </w:numPr>
        <w:pBdr>
          <w:top w:val="nil"/>
          <w:left w:val="nil"/>
          <w:bottom w:val="nil"/>
          <w:right w:val="nil"/>
          <w:between w:val="nil"/>
        </w:pBdr>
        <w:spacing w:after="0"/>
        <w:rPr>
          <w:rFonts w:ascii="Calibri" w:eastAsia="Calibri" w:hAnsi="Calibri" w:cs="Calibri"/>
        </w:rPr>
      </w:pPr>
      <w:r w:rsidRPr="0041055F">
        <w:rPr>
          <w:rFonts w:ascii="Calibri" w:eastAsia="Calibri" w:hAnsi="Calibri" w:cs="Calibri"/>
          <w:color w:val="000000"/>
        </w:rPr>
        <w:t xml:space="preserve">Recruit </w:t>
      </w:r>
      <w:r w:rsidR="006579C1">
        <w:rPr>
          <w:rFonts w:ascii="Calibri" w:eastAsia="Calibri" w:hAnsi="Calibri" w:cs="Calibri"/>
          <w:color w:val="000000"/>
        </w:rPr>
        <w:t>local</w:t>
      </w:r>
      <w:r w:rsidR="006579C1" w:rsidRPr="0041055F">
        <w:rPr>
          <w:rFonts w:ascii="Calibri" w:eastAsia="Calibri" w:hAnsi="Calibri" w:cs="Calibri"/>
          <w:color w:val="000000"/>
        </w:rPr>
        <w:t xml:space="preserve"> </w:t>
      </w:r>
      <w:r w:rsidR="006579C1">
        <w:rPr>
          <w:rFonts w:ascii="Calibri" w:eastAsia="Calibri" w:hAnsi="Calibri" w:cs="Calibri"/>
          <w:color w:val="000000"/>
        </w:rPr>
        <w:t>s</w:t>
      </w:r>
      <w:r w:rsidR="00D65029">
        <w:rPr>
          <w:rFonts w:ascii="Calibri" w:eastAsia="Calibri" w:hAnsi="Calibri" w:cs="Calibri"/>
          <w:color w:val="000000"/>
        </w:rPr>
        <w:t>takeholder</w:t>
      </w:r>
      <w:r w:rsidRPr="0041055F">
        <w:rPr>
          <w:rFonts w:ascii="Calibri" w:eastAsia="Calibri" w:hAnsi="Calibri" w:cs="Calibri"/>
          <w:color w:val="000000"/>
        </w:rPr>
        <w:t>/</w:t>
      </w:r>
      <w:r w:rsidR="006579C1">
        <w:rPr>
          <w:rFonts w:ascii="Calibri" w:eastAsia="Calibri" w:hAnsi="Calibri" w:cs="Calibri"/>
          <w:color w:val="000000"/>
        </w:rPr>
        <w:t>b</w:t>
      </w:r>
      <w:r w:rsidRPr="0041055F">
        <w:rPr>
          <w:rFonts w:ascii="Calibri" w:eastAsia="Calibri" w:hAnsi="Calibri" w:cs="Calibri"/>
          <w:color w:val="000000"/>
        </w:rPr>
        <w:t xml:space="preserve">usiness </w:t>
      </w:r>
      <w:r w:rsidR="006579C1">
        <w:rPr>
          <w:rFonts w:ascii="Calibri" w:eastAsia="Calibri" w:hAnsi="Calibri" w:cs="Calibri"/>
          <w:color w:val="000000"/>
        </w:rPr>
        <w:t>l</w:t>
      </w:r>
      <w:r w:rsidRPr="0041055F">
        <w:rPr>
          <w:rFonts w:ascii="Calibri" w:eastAsia="Calibri" w:hAnsi="Calibri" w:cs="Calibri"/>
          <w:color w:val="000000"/>
        </w:rPr>
        <w:t xml:space="preserve">eaders to </w:t>
      </w:r>
      <w:r w:rsidR="006579C1">
        <w:rPr>
          <w:rFonts w:ascii="Calibri" w:eastAsia="Calibri" w:hAnsi="Calibri" w:cs="Calibri"/>
          <w:color w:val="000000"/>
        </w:rPr>
        <w:t>be partners and spokespersons that increase collaboration and financial support at local and state levels.</w:t>
      </w:r>
    </w:p>
    <w:p w14:paraId="0551F942" w14:textId="77777777" w:rsidR="006579C1" w:rsidRPr="0041055F" w:rsidRDefault="006579C1" w:rsidP="006579C1">
      <w:pPr>
        <w:numPr>
          <w:ilvl w:val="0"/>
          <w:numId w:val="3"/>
        </w:numPr>
        <w:pBdr>
          <w:top w:val="nil"/>
          <w:left w:val="nil"/>
          <w:bottom w:val="nil"/>
          <w:right w:val="nil"/>
          <w:between w:val="nil"/>
        </w:pBdr>
        <w:spacing w:after="0"/>
        <w:rPr>
          <w:rFonts w:ascii="Calibri" w:eastAsia="Calibri" w:hAnsi="Calibri" w:cs="Calibri"/>
        </w:rPr>
      </w:pPr>
      <w:r>
        <w:rPr>
          <w:rFonts w:ascii="Calibri" w:eastAsia="Calibri" w:hAnsi="Calibri" w:cs="Calibri"/>
          <w:color w:val="000000"/>
        </w:rPr>
        <w:t>Understand the funding and resource gaps in Calcasieu Parish.</w:t>
      </w:r>
    </w:p>
    <w:p w14:paraId="34D97B51" w14:textId="77777777" w:rsidR="006579C1" w:rsidRPr="000C38DA" w:rsidRDefault="006579C1" w:rsidP="0041055F">
      <w:pPr>
        <w:numPr>
          <w:ilvl w:val="0"/>
          <w:numId w:val="3"/>
        </w:numPr>
        <w:pBdr>
          <w:top w:val="nil"/>
          <w:left w:val="nil"/>
          <w:bottom w:val="nil"/>
          <w:right w:val="nil"/>
          <w:between w:val="nil"/>
        </w:pBdr>
        <w:spacing w:after="0"/>
        <w:rPr>
          <w:rFonts w:ascii="Calibri" w:eastAsia="Calibri" w:hAnsi="Calibri" w:cs="Calibri"/>
        </w:rPr>
      </w:pPr>
      <w:r>
        <w:rPr>
          <w:rFonts w:ascii="Calibri" w:eastAsia="Calibri" w:hAnsi="Calibri" w:cs="Calibri"/>
          <w:color w:val="000000"/>
        </w:rPr>
        <w:lastRenderedPageBreak/>
        <w:t>Identify funding opportunities (i.e. philanthropic, local millage campaign, corporate fundraising, Parish resources, etc.).</w:t>
      </w:r>
    </w:p>
    <w:p w14:paraId="7F44C19A" w14:textId="57A9EB3C" w:rsidR="006579C1" w:rsidRPr="004B79E6" w:rsidRDefault="006579C1" w:rsidP="004B79E6">
      <w:pPr>
        <w:numPr>
          <w:ilvl w:val="0"/>
          <w:numId w:val="3"/>
        </w:numPr>
        <w:pBdr>
          <w:top w:val="nil"/>
          <w:left w:val="nil"/>
          <w:bottom w:val="nil"/>
          <w:right w:val="nil"/>
          <w:between w:val="nil"/>
        </w:pBdr>
        <w:spacing w:after="0"/>
        <w:rPr>
          <w:rFonts w:ascii="Calibri" w:eastAsia="Calibri" w:hAnsi="Calibri" w:cs="Calibri"/>
        </w:rPr>
      </w:pPr>
      <w:r>
        <w:rPr>
          <w:rFonts w:ascii="Calibri" w:eastAsia="Calibri" w:hAnsi="Calibri" w:cs="Calibri"/>
          <w:color w:val="000000"/>
        </w:rPr>
        <w:t xml:space="preserve">Leverage stakeholders and business leaders to conduct outreach to target funders. </w:t>
      </w:r>
    </w:p>
    <w:p w14:paraId="780AE91C" w14:textId="3E0B89DB" w:rsidR="00182278" w:rsidRPr="0084368C" w:rsidRDefault="00182278" w:rsidP="0041055F">
      <w:r w:rsidRPr="0084368C">
        <w:t>Resources:</w:t>
      </w:r>
    </w:p>
    <w:p w14:paraId="0E7A600B" w14:textId="77777777" w:rsidR="0041055F" w:rsidRPr="0041055F" w:rsidRDefault="0041055F" w:rsidP="0041055F">
      <w:pPr>
        <w:numPr>
          <w:ilvl w:val="0"/>
          <w:numId w:val="4"/>
        </w:numPr>
        <w:pBdr>
          <w:top w:val="nil"/>
          <w:left w:val="nil"/>
          <w:bottom w:val="nil"/>
          <w:right w:val="nil"/>
          <w:between w:val="nil"/>
        </w:pBdr>
        <w:spacing w:after="0"/>
        <w:rPr>
          <w:rFonts w:ascii="Calibri" w:eastAsia="Calibri" w:hAnsi="Calibri" w:cs="Calibri"/>
        </w:rPr>
      </w:pPr>
      <w:r w:rsidRPr="0041055F">
        <w:rPr>
          <w:rFonts w:ascii="Calibri" w:eastAsia="Calibri" w:hAnsi="Calibri" w:cs="Calibri"/>
          <w:color w:val="000000"/>
        </w:rPr>
        <w:t>Existing: Community Agencies and Some Area Businesses are Members of the current Governing Board.</w:t>
      </w:r>
    </w:p>
    <w:p w14:paraId="07C34B02" w14:textId="6A4C23BE" w:rsidR="0041055F" w:rsidRPr="0041055F" w:rsidRDefault="0041055F" w:rsidP="0041055F">
      <w:pPr>
        <w:numPr>
          <w:ilvl w:val="0"/>
          <w:numId w:val="4"/>
        </w:numPr>
        <w:pBdr>
          <w:top w:val="nil"/>
          <w:left w:val="nil"/>
          <w:bottom w:val="nil"/>
          <w:right w:val="nil"/>
          <w:between w:val="nil"/>
        </w:pBdr>
        <w:rPr>
          <w:rFonts w:ascii="Calibri" w:eastAsia="Calibri" w:hAnsi="Calibri" w:cs="Calibri"/>
        </w:rPr>
      </w:pPr>
      <w:r w:rsidRPr="0041055F">
        <w:rPr>
          <w:rFonts w:ascii="Calibri" w:eastAsia="Calibri" w:hAnsi="Calibri" w:cs="Calibri"/>
          <w:color w:val="000000"/>
        </w:rPr>
        <w:t xml:space="preserve">Needed: </w:t>
      </w:r>
      <w:r w:rsidR="006579C1" w:rsidRPr="00846707">
        <w:rPr>
          <w:sz w:val="24"/>
          <w:szCs w:val="24"/>
        </w:rPr>
        <w:t>Data to show the supply and demand gaps</w:t>
      </w:r>
      <w:r w:rsidR="006579C1" w:rsidRPr="0041055F">
        <w:rPr>
          <w:rFonts w:ascii="Calibri" w:eastAsia="Calibri" w:hAnsi="Calibri" w:cs="Calibri"/>
          <w:color w:val="000000"/>
        </w:rPr>
        <w:t xml:space="preserve"> </w:t>
      </w:r>
      <w:r w:rsidR="006579C1">
        <w:rPr>
          <w:rFonts w:ascii="Calibri" w:eastAsia="Calibri" w:hAnsi="Calibri" w:cs="Calibri"/>
          <w:color w:val="000000"/>
        </w:rPr>
        <w:t xml:space="preserve">and how funding can fill those gaps. Understanding of new data sources (i.e. Parish resources, libraries, local businesses, etc.). A cadre of partners committed to leverage and raise new funding sources for early childhood. </w:t>
      </w:r>
    </w:p>
    <w:p w14:paraId="5CE07606" w14:textId="697BB596" w:rsidR="006579C1" w:rsidRPr="0084368C" w:rsidRDefault="00182278" w:rsidP="00182278">
      <w:r w:rsidRPr="0084368C">
        <w:t>Performance Metrics:</w:t>
      </w:r>
      <w:r w:rsidR="0041055F">
        <w:t xml:space="preserve"> </w:t>
      </w:r>
      <w:r w:rsidR="006579C1">
        <w:t>New funding, new funders</w:t>
      </w:r>
    </w:p>
    <w:p w14:paraId="21490AC4" w14:textId="70D02E0E" w:rsidR="00182278" w:rsidRPr="004B79E6" w:rsidRDefault="00182278" w:rsidP="00182278">
      <w:pPr>
        <w:rPr>
          <w:b/>
        </w:rPr>
      </w:pPr>
      <w:r w:rsidRPr="004B79E6">
        <w:rPr>
          <w:b/>
        </w:rPr>
        <w:t>Goal 3:</w:t>
      </w:r>
      <w:r w:rsidR="008D1156">
        <w:rPr>
          <w:b/>
        </w:rPr>
        <w:t xml:space="preserve"> By 2022, </w:t>
      </w:r>
      <w:r w:rsidR="00344DDD">
        <w:rPr>
          <w:b/>
        </w:rPr>
        <w:t>50</w:t>
      </w:r>
      <w:r w:rsidR="008D1156">
        <w:rPr>
          <w:b/>
        </w:rPr>
        <w:t xml:space="preserve">% of the </w:t>
      </w:r>
      <w:r w:rsidR="00344DDD">
        <w:rPr>
          <w:b/>
        </w:rPr>
        <w:t>Calcasieu Parish’s at-risk 3-year old population will have access</w:t>
      </w:r>
      <w:r w:rsidR="00CE2110" w:rsidRPr="004B79E6">
        <w:rPr>
          <w:b/>
        </w:rPr>
        <w:t xml:space="preserve"> </w:t>
      </w:r>
      <w:r w:rsidR="008D1156">
        <w:rPr>
          <w:b/>
        </w:rPr>
        <w:t xml:space="preserve">to a </w:t>
      </w:r>
      <w:r w:rsidR="00344DDD">
        <w:rPr>
          <w:b/>
        </w:rPr>
        <w:t>high-quality</w:t>
      </w:r>
      <w:r w:rsidR="008D1156">
        <w:rPr>
          <w:b/>
        </w:rPr>
        <w:t xml:space="preserve"> childcare</w:t>
      </w:r>
      <w:r w:rsidR="00344DDD">
        <w:rPr>
          <w:b/>
        </w:rPr>
        <w:t xml:space="preserve">. </w:t>
      </w:r>
      <w:r w:rsidR="008D1156">
        <w:rPr>
          <w:b/>
        </w:rPr>
        <w:t xml:space="preserve"> </w:t>
      </w:r>
      <w:r w:rsidR="00431CB9" w:rsidRPr="004B79E6">
        <w:rPr>
          <w:b/>
        </w:rPr>
        <w:t xml:space="preserve"> </w:t>
      </w:r>
    </w:p>
    <w:p w14:paraId="2AE799C1" w14:textId="7FFCA6C0" w:rsidR="00DC52AC" w:rsidRPr="0084368C" w:rsidRDefault="00CE2110" w:rsidP="001359F4">
      <w:pPr>
        <w:pStyle w:val="ListParagraph"/>
        <w:numPr>
          <w:ilvl w:val="0"/>
          <w:numId w:val="1"/>
        </w:numPr>
      </w:pPr>
      <w:r>
        <w:t>Use data kits provided by LDE and local data surveys to analyze data to determine existing high quality three-year old seats.</w:t>
      </w:r>
    </w:p>
    <w:p w14:paraId="092D5179" w14:textId="50DD5C4B" w:rsidR="00182278" w:rsidRDefault="00DC52AC" w:rsidP="00182278">
      <w:pPr>
        <w:pStyle w:val="ListParagraph"/>
        <w:numPr>
          <w:ilvl w:val="0"/>
          <w:numId w:val="1"/>
        </w:numPr>
      </w:pPr>
      <w:r w:rsidRPr="0084368C">
        <w:t xml:space="preserve"> </w:t>
      </w:r>
      <w:r w:rsidR="00060263">
        <w:t xml:space="preserve">Work with governance body on obtained data to create a strategic plan to </w:t>
      </w:r>
      <w:r w:rsidR="00B03B85">
        <w:t>recruit</w:t>
      </w:r>
      <w:r w:rsidR="00060263">
        <w:t xml:space="preserve"> and encourage existing high quality sites to increase their seat access for three year olds through extended community partnerships.</w:t>
      </w:r>
    </w:p>
    <w:p w14:paraId="416B5F6B" w14:textId="5EB4E522" w:rsidR="00060263" w:rsidRDefault="00060263" w:rsidP="00182278">
      <w:pPr>
        <w:pStyle w:val="ListParagraph"/>
        <w:numPr>
          <w:ilvl w:val="0"/>
          <w:numId w:val="1"/>
        </w:numPr>
      </w:pPr>
      <w:r>
        <w:t>Apply for additional seats through coordinated funding request.</w:t>
      </w:r>
    </w:p>
    <w:p w14:paraId="5CC731BA" w14:textId="315C7515" w:rsidR="00060263" w:rsidRPr="0084368C" w:rsidRDefault="006F55AC" w:rsidP="00182278">
      <w:pPr>
        <w:pStyle w:val="ListParagraph"/>
        <w:numPr>
          <w:ilvl w:val="0"/>
          <w:numId w:val="1"/>
        </w:numPr>
      </w:pPr>
      <w:r>
        <w:t>Advertise to recruit three year olds to enroll in the newly opened Ready Start Calcasieu expansion seats.</w:t>
      </w:r>
    </w:p>
    <w:p w14:paraId="2A9B4342" w14:textId="77777777" w:rsidR="00182278" w:rsidRPr="0084368C" w:rsidRDefault="00182278" w:rsidP="00182278">
      <w:r w:rsidRPr="0084368C">
        <w:t>Resources:</w:t>
      </w:r>
    </w:p>
    <w:p w14:paraId="21700C93" w14:textId="51D1124E" w:rsidR="00182278" w:rsidRPr="0084368C" w:rsidRDefault="00182278" w:rsidP="00182278">
      <w:pPr>
        <w:pStyle w:val="ListParagraph"/>
        <w:numPr>
          <w:ilvl w:val="0"/>
          <w:numId w:val="2"/>
        </w:numPr>
      </w:pPr>
      <w:r w:rsidRPr="0084368C">
        <w:t>Existing:</w:t>
      </w:r>
      <w:r w:rsidR="006F55AC">
        <w:t xml:space="preserve"> LDE data kits and Calcasieu data that shows site performance and number of children served.</w:t>
      </w:r>
    </w:p>
    <w:p w14:paraId="629F35D2" w14:textId="361C6F05" w:rsidR="00182278" w:rsidRPr="0084368C" w:rsidRDefault="00182278" w:rsidP="00182278">
      <w:pPr>
        <w:pStyle w:val="ListParagraph"/>
        <w:numPr>
          <w:ilvl w:val="0"/>
          <w:numId w:val="2"/>
        </w:numPr>
      </w:pPr>
      <w:r w:rsidRPr="0084368C">
        <w:t>Needed:</w:t>
      </w:r>
      <w:r w:rsidR="006F55AC">
        <w:t xml:space="preserve"> Increased three-year old seat capacity, request additional seats through LDE funding request, advertisement of new seats</w:t>
      </w:r>
    </w:p>
    <w:p w14:paraId="10E0B200" w14:textId="53634A7D" w:rsidR="00182278" w:rsidRPr="0084368C" w:rsidRDefault="00182278" w:rsidP="00182278">
      <w:r w:rsidRPr="0084368C">
        <w:t>Performance Metrics:</w:t>
      </w:r>
      <w:r w:rsidR="006F55AC">
        <w:t xml:space="preserve"> Increase in partnerships with local businesses to increase seats and participate with Ready Start Calcasieu Initiative, advertisement, and filling of new seats</w:t>
      </w:r>
    </w:p>
    <w:p w14:paraId="47D4E4B1" w14:textId="77777777" w:rsidR="00182278" w:rsidRPr="00182278" w:rsidRDefault="00182278" w:rsidP="00182278">
      <w:pPr>
        <w:rPr>
          <w:sz w:val="24"/>
          <w:szCs w:val="24"/>
        </w:rPr>
      </w:pPr>
    </w:p>
    <w:sectPr w:rsidR="00182278" w:rsidRPr="001822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EA678" w14:textId="77777777" w:rsidR="00DA13B8" w:rsidRDefault="00DA13B8" w:rsidP="00B039FA">
      <w:pPr>
        <w:spacing w:after="0" w:line="240" w:lineRule="auto"/>
      </w:pPr>
      <w:r>
        <w:separator/>
      </w:r>
    </w:p>
  </w:endnote>
  <w:endnote w:type="continuationSeparator" w:id="0">
    <w:p w14:paraId="21E320A7" w14:textId="77777777" w:rsidR="00DA13B8" w:rsidRDefault="00DA13B8" w:rsidP="00B0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54E2" w14:textId="77777777" w:rsidR="00B507B8" w:rsidRDefault="00B50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6058" w14:textId="77777777" w:rsidR="00B507B8" w:rsidRDefault="00B50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889A" w14:textId="77777777" w:rsidR="00B507B8" w:rsidRDefault="00B50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55EA" w14:textId="77777777" w:rsidR="00DA13B8" w:rsidRDefault="00DA13B8" w:rsidP="00B039FA">
      <w:pPr>
        <w:spacing w:after="0" w:line="240" w:lineRule="auto"/>
      </w:pPr>
      <w:r>
        <w:separator/>
      </w:r>
    </w:p>
  </w:footnote>
  <w:footnote w:type="continuationSeparator" w:id="0">
    <w:p w14:paraId="3B19F975" w14:textId="77777777" w:rsidR="00DA13B8" w:rsidRDefault="00DA13B8" w:rsidP="00B039FA">
      <w:pPr>
        <w:spacing w:after="0" w:line="240" w:lineRule="auto"/>
      </w:pPr>
      <w:r>
        <w:continuationSeparator/>
      </w:r>
    </w:p>
  </w:footnote>
  <w:footnote w:id="1">
    <w:p w14:paraId="73C59F40" w14:textId="7EC0DE5E" w:rsidR="00B507B8" w:rsidRDefault="00B507B8">
      <w:pPr>
        <w:pStyle w:val="FootnoteText"/>
      </w:pPr>
      <w:r>
        <w:rPr>
          <w:rStyle w:val="FootnoteReference"/>
        </w:rPr>
        <w:footnoteRef/>
      </w:r>
      <w:r>
        <w:t xml:space="preserve"> As measured by Fall 2018-2019 Literacy Assessment Performance (DIBELS, STEEP, or STEP)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CF07" w14:textId="2E3F3DCA" w:rsidR="00B507B8" w:rsidRDefault="00B50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AD3A" w14:textId="4B3231BE" w:rsidR="00B507B8" w:rsidRDefault="00B50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EE18" w14:textId="44CAAC42" w:rsidR="00B507B8" w:rsidRDefault="00B50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B14"/>
    <w:multiLevelType w:val="hybridMultilevel"/>
    <w:tmpl w:val="51C2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947F2"/>
    <w:multiLevelType w:val="hybridMultilevel"/>
    <w:tmpl w:val="B56C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A4CEB"/>
    <w:multiLevelType w:val="hybridMultilevel"/>
    <w:tmpl w:val="2CF88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ACF"/>
    <w:multiLevelType w:val="hybridMultilevel"/>
    <w:tmpl w:val="AFCE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147B4"/>
    <w:multiLevelType w:val="hybridMultilevel"/>
    <w:tmpl w:val="1F98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B1860"/>
    <w:multiLevelType w:val="multilevel"/>
    <w:tmpl w:val="C02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AB6730"/>
    <w:multiLevelType w:val="hybridMultilevel"/>
    <w:tmpl w:val="CF78B6A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62BC12C2"/>
    <w:multiLevelType w:val="multilevel"/>
    <w:tmpl w:val="82A6A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4B06CF"/>
    <w:multiLevelType w:val="hybridMultilevel"/>
    <w:tmpl w:val="7030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7"/>
  </w:num>
  <w:num w:numId="5">
    <w:abstractNumId w:val="8"/>
  </w:num>
  <w:num w:numId="6">
    <w:abstractNumId w:val="4"/>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78"/>
    <w:rsid w:val="00060263"/>
    <w:rsid w:val="000929A6"/>
    <w:rsid w:val="000A10B0"/>
    <w:rsid w:val="000A6728"/>
    <w:rsid w:val="000A7AC6"/>
    <w:rsid w:val="000B4CF3"/>
    <w:rsid w:val="000C38DA"/>
    <w:rsid w:val="000D27EE"/>
    <w:rsid w:val="000E31F8"/>
    <w:rsid w:val="001359F4"/>
    <w:rsid w:val="0017307B"/>
    <w:rsid w:val="00182278"/>
    <w:rsid w:val="001F023F"/>
    <w:rsid w:val="00270E47"/>
    <w:rsid w:val="00287609"/>
    <w:rsid w:val="002A6A55"/>
    <w:rsid w:val="002D5677"/>
    <w:rsid w:val="0032132F"/>
    <w:rsid w:val="00344DDD"/>
    <w:rsid w:val="003512A2"/>
    <w:rsid w:val="00370F5F"/>
    <w:rsid w:val="00395E41"/>
    <w:rsid w:val="003A3573"/>
    <w:rsid w:val="003B74B6"/>
    <w:rsid w:val="003C5104"/>
    <w:rsid w:val="003D6AFF"/>
    <w:rsid w:val="003F5C2E"/>
    <w:rsid w:val="0041055F"/>
    <w:rsid w:val="00431CB9"/>
    <w:rsid w:val="004A41D1"/>
    <w:rsid w:val="004B79E6"/>
    <w:rsid w:val="004D5802"/>
    <w:rsid w:val="0059518A"/>
    <w:rsid w:val="005F7304"/>
    <w:rsid w:val="00604830"/>
    <w:rsid w:val="006579C1"/>
    <w:rsid w:val="00692C57"/>
    <w:rsid w:val="006B4302"/>
    <w:rsid w:val="006C2AAD"/>
    <w:rsid w:val="006F3BD6"/>
    <w:rsid w:val="006F55AC"/>
    <w:rsid w:val="00726B2D"/>
    <w:rsid w:val="0077055B"/>
    <w:rsid w:val="00783F74"/>
    <w:rsid w:val="00797722"/>
    <w:rsid w:val="007D2C72"/>
    <w:rsid w:val="00831B2F"/>
    <w:rsid w:val="0084368C"/>
    <w:rsid w:val="00861F88"/>
    <w:rsid w:val="00892E9B"/>
    <w:rsid w:val="008D1156"/>
    <w:rsid w:val="0091400A"/>
    <w:rsid w:val="0093383E"/>
    <w:rsid w:val="0099460B"/>
    <w:rsid w:val="009A1B19"/>
    <w:rsid w:val="009C09E4"/>
    <w:rsid w:val="00A027AD"/>
    <w:rsid w:val="00A1147B"/>
    <w:rsid w:val="00A95EB8"/>
    <w:rsid w:val="00B039FA"/>
    <w:rsid w:val="00B03B85"/>
    <w:rsid w:val="00B507B8"/>
    <w:rsid w:val="00C71094"/>
    <w:rsid w:val="00C82FB0"/>
    <w:rsid w:val="00CA07B9"/>
    <w:rsid w:val="00CE2110"/>
    <w:rsid w:val="00D47003"/>
    <w:rsid w:val="00D65029"/>
    <w:rsid w:val="00DA13B8"/>
    <w:rsid w:val="00DC52AC"/>
    <w:rsid w:val="00DD0283"/>
    <w:rsid w:val="00DF6AEA"/>
    <w:rsid w:val="00E32734"/>
    <w:rsid w:val="00E434B1"/>
    <w:rsid w:val="00E65952"/>
    <w:rsid w:val="00E753A4"/>
    <w:rsid w:val="00ED2F3F"/>
    <w:rsid w:val="00F25F39"/>
    <w:rsid w:val="00F33394"/>
    <w:rsid w:val="00F44708"/>
    <w:rsid w:val="00F53E19"/>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46CA8"/>
  <w15:docId w15:val="{46724D72-0990-4385-8CC9-888664D4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278"/>
    <w:pPr>
      <w:ind w:left="720"/>
      <w:contextualSpacing/>
    </w:pPr>
  </w:style>
  <w:style w:type="table" w:styleId="TableGrid">
    <w:name w:val="Table Grid"/>
    <w:basedOn w:val="TableNormal"/>
    <w:uiPriority w:val="39"/>
    <w:rsid w:val="0018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78"/>
    <w:rPr>
      <w:rFonts w:ascii="Segoe UI" w:hAnsi="Segoe UI" w:cs="Segoe UI"/>
      <w:sz w:val="18"/>
      <w:szCs w:val="18"/>
    </w:rPr>
  </w:style>
  <w:style w:type="paragraph" w:styleId="Header">
    <w:name w:val="header"/>
    <w:basedOn w:val="Normal"/>
    <w:link w:val="HeaderChar"/>
    <w:uiPriority w:val="99"/>
    <w:unhideWhenUsed/>
    <w:rsid w:val="00B0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FA"/>
  </w:style>
  <w:style w:type="paragraph" w:styleId="Footer">
    <w:name w:val="footer"/>
    <w:basedOn w:val="Normal"/>
    <w:link w:val="FooterChar"/>
    <w:uiPriority w:val="99"/>
    <w:unhideWhenUsed/>
    <w:rsid w:val="00B0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FA"/>
  </w:style>
  <w:style w:type="character" w:styleId="CommentReference">
    <w:name w:val="annotation reference"/>
    <w:basedOn w:val="DefaultParagraphFont"/>
    <w:uiPriority w:val="99"/>
    <w:semiHidden/>
    <w:unhideWhenUsed/>
    <w:rsid w:val="009C09E4"/>
    <w:rPr>
      <w:sz w:val="18"/>
      <w:szCs w:val="18"/>
    </w:rPr>
  </w:style>
  <w:style w:type="paragraph" w:styleId="CommentText">
    <w:name w:val="annotation text"/>
    <w:basedOn w:val="Normal"/>
    <w:link w:val="CommentTextChar"/>
    <w:uiPriority w:val="99"/>
    <w:semiHidden/>
    <w:unhideWhenUsed/>
    <w:rsid w:val="009C09E4"/>
    <w:pPr>
      <w:spacing w:line="240" w:lineRule="auto"/>
    </w:pPr>
    <w:rPr>
      <w:sz w:val="24"/>
      <w:szCs w:val="24"/>
    </w:rPr>
  </w:style>
  <w:style w:type="character" w:customStyle="1" w:styleId="CommentTextChar">
    <w:name w:val="Comment Text Char"/>
    <w:basedOn w:val="DefaultParagraphFont"/>
    <w:link w:val="CommentText"/>
    <w:uiPriority w:val="99"/>
    <w:semiHidden/>
    <w:rsid w:val="009C09E4"/>
    <w:rPr>
      <w:sz w:val="24"/>
      <w:szCs w:val="24"/>
    </w:rPr>
  </w:style>
  <w:style w:type="paragraph" w:styleId="CommentSubject">
    <w:name w:val="annotation subject"/>
    <w:basedOn w:val="CommentText"/>
    <w:next w:val="CommentText"/>
    <w:link w:val="CommentSubjectChar"/>
    <w:uiPriority w:val="99"/>
    <w:semiHidden/>
    <w:unhideWhenUsed/>
    <w:rsid w:val="009C09E4"/>
    <w:rPr>
      <w:b/>
      <w:bCs/>
      <w:sz w:val="20"/>
      <w:szCs w:val="20"/>
    </w:rPr>
  </w:style>
  <w:style w:type="character" w:customStyle="1" w:styleId="CommentSubjectChar">
    <w:name w:val="Comment Subject Char"/>
    <w:basedOn w:val="CommentTextChar"/>
    <w:link w:val="CommentSubject"/>
    <w:uiPriority w:val="99"/>
    <w:semiHidden/>
    <w:rsid w:val="009C09E4"/>
    <w:rPr>
      <w:b/>
      <w:bCs/>
      <w:sz w:val="20"/>
      <w:szCs w:val="20"/>
    </w:rPr>
  </w:style>
  <w:style w:type="paragraph" w:styleId="Revision">
    <w:name w:val="Revision"/>
    <w:hidden/>
    <w:uiPriority w:val="99"/>
    <w:semiHidden/>
    <w:rsid w:val="006B4302"/>
    <w:pPr>
      <w:spacing w:after="0" w:line="240" w:lineRule="auto"/>
    </w:pPr>
  </w:style>
  <w:style w:type="paragraph" w:styleId="FootnoteText">
    <w:name w:val="footnote text"/>
    <w:basedOn w:val="Normal"/>
    <w:link w:val="FootnoteTextChar"/>
    <w:uiPriority w:val="99"/>
    <w:unhideWhenUsed/>
    <w:rsid w:val="00B507B8"/>
    <w:pPr>
      <w:spacing w:after="0" w:line="240" w:lineRule="auto"/>
    </w:pPr>
    <w:rPr>
      <w:sz w:val="24"/>
      <w:szCs w:val="24"/>
    </w:rPr>
  </w:style>
  <w:style w:type="character" w:customStyle="1" w:styleId="FootnoteTextChar">
    <w:name w:val="Footnote Text Char"/>
    <w:basedOn w:val="DefaultParagraphFont"/>
    <w:link w:val="FootnoteText"/>
    <w:uiPriority w:val="99"/>
    <w:rsid w:val="00B507B8"/>
    <w:rPr>
      <w:sz w:val="24"/>
      <w:szCs w:val="24"/>
    </w:rPr>
  </w:style>
  <w:style w:type="character" w:styleId="FootnoteReference">
    <w:name w:val="footnote reference"/>
    <w:basedOn w:val="DefaultParagraphFont"/>
    <w:uiPriority w:val="99"/>
    <w:unhideWhenUsed/>
    <w:rsid w:val="00B50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AE1D-E53E-4511-AA32-676D813E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Knotts</dc:creator>
  <cp:keywords/>
  <dc:description/>
  <cp:lastModifiedBy>Joubert, Michelle</cp:lastModifiedBy>
  <cp:revision>2</cp:revision>
  <cp:lastPrinted>2020-02-04T19:33:00Z</cp:lastPrinted>
  <dcterms:created xsi:type="dcterms:W3CDTF">2020-02-24T00:10:00Z</dcterms:created>
  <dcterms:modified xsi:type="dcterms:W3CDTF">2020-02-24T00:10:00Z</dcterms:modified>
</cp:coreProperties>
</file>