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9ABB1" w14:textId="77777777" w:rsidR="00E35A5C" w:rsidRDefault="0098387D" w:rsidP="0098387D">
      <w:pPr>
        <w:spacing w:after="0" w:line="240" w:lineRule="auto"/>
        <w:jc w:val="center"/>
        <w:rPr>
          <w:sz w:val="24"/>
          <w:szCs w:val="24"/>
        </w:rPr>
      </w:pPr>
      <w:r>
        <w:rPr>
          <w:sz w:val="24"/>
          <w:szCs w:val="24"/>
        </w:rPr>
        <w:tab/>
        <w:t>UNPAID MEAL CHARGES – New Policy (EEA)</w:t>
      </w:r>
    </w:p>
    <w:p w14:paraId="251C9984" w14:textId="77777777" w:rsidR="0098387D" w:rsidRDefault="0098387D" w:rsidP="0098387D">
      <w:pPr>
        <w:spacing w:after="0" w:line="240" w:lineRule="auto"/>
        <w:jc w:val="center"/>
        <w:rPr>
          <w:sz w:val="24"/>
          <w:szCs w:val="24"/>
        </w:rPr>
      </w:pPr>
    </w:p>
    <w:p w14:paraId="553A2C3A" w14:textId="77777777" w:rsidR="00E35A5C" w:rsidRDefault="00E35A5C" w:rsidP="008F4ADB">
      <w:pPr>
        <w:spacing w:after="0" w:line="240" w:lineRule="auto"/>
        <w:rPr>
          <w:sz w:val="24"/>
          <w:szCs w:val="24"/>
        </w:rPr>
      </w:pPr>
      <w:r>
        <w:rPr>
          <w:sz w:val="24"/>
          <w:szCs w:val="24"/>
        </w:rPr>
        <w:t xml:space="preserve">The National School Lunch and School Breakfast Programs are integral in ensuring that students have access to nutritious meals to support their academic success. It is also imperative to protect the financial stability of the school nutrition program. </w:t>
      </w:r>
    </w:p>
    <w:p w14:paraId="33BF8DA7" w14:textId="77777777" w:rsidR="00E35A5C" w:rsidRDefault="00E35A5C" w:rsidP="008F4ADB">
      <w:pPr>
        <w:spacing w:after="0" w:line="240" w:lineRule="auto"/>
        <w:rPr>
          <w:sz w:val="24"/>
          <w:szCs w:val="24"/>
        </w:rPr>
      </w:pPr>
    </w:p>
    <w:p w14:paraId="56AA1EAD" w14:textId="77777777" w:rsidR="00E35A5C" w:rsidRDefault="00E35A5C" w:rsidP="008F4ADB">
      <w:pPr>
        <w:spacing w:after="0" w:line="240" w:lineRule="auto"/>
        <w:rPr>
          <w:sz w:val="24"/>
          <w:szCs w:val="24"/>
        </w:rPr>
      </w:pPr>
      <w:r>
        <w:rPr>
          <w:sz w:val="24"/>
          <w:szCs w:val="24"/>
        </w:rPr>
        <w:t xml:space="preserve">The intent of this policy is to establish a process and procedure to handle situations when children eligible for reduced-price or full-price meal benefits have insufficient funds to pay for school meals; as well as for the collection of unpaid meal charges and delinquent account debt. </w:t>
      </w:r>
    </w:p>
    <w:p w14:paraId="5767B8F9" w14:textId="77777777" w:rsidR="00E35A5C" w:rsidRDefault="00E35A5C" w:rsidP="008F4ADB">
      <w:pPr>
        <w:spacing w:after="0" w:line="240" w:lineRule="auto"/>
        <w:rPr>
          <w:sz w:val="24"/>
          <w:szCs w:val="24"/>
        </w:rPr>
      </w:pPr>
    </w:p>
    <w:p w14:paraId="41301866" w14:textId="77777777" w:rsidR="00E35A5C" w:rsidRPr="0098387D" w:rsidRDefault="0098387D" w:rsidP="008F4ADB">
      <w:pPr>
        <w:spacing w:after="0" w:line="240" w:lineRule="auto"/>
        <w:rPr>
          <w:sz w:val="24"/>
          <w:szCs w:val="24"/>
          <w:u w:val="single"/>
        </w:rPr>
      </w:pPr>
      <w:r w:rsidRPr="0098387D">
        <w:rPr>
          <w:sz w:val="24"/>
          <w:szCs w:val="24"/>
          <w:u w:val="single"/>
        </w:rPr>
        <w:t>PROCEDURE</w:t>
      </w:r>
    </w:p>
    <w:p w14:paraId="6D24E921" w14:textId="77777777" w:rsidR="00E35A5C" w:rsidRDefault="00E35A5C" w:rsidP="00E35A5C">
      <w:pPr>
        <w:pStyle w:val="ListParagraph"/>
        <w:numPr>
          <w:ilvl w:val="0"/>
          <w:numId w:val="1"/>
        </w:numPr>
        <w:spacing w:after="0" w:line="240" w:lineRule="auto"/>
        <w:rPr>
          <w:sz w:val="24"/>
          <w:szCs w:val="24"/>
        </w:rPr>
      </w:pPr>
      <w:r>
        <w:rPr>
          <w:sz w:val="24"/>
          <w:szCs w:val="24"/>
        </w:rPr>
        <w:t>Students</w:t>
      </w:r>
      <w:r w:rsidR="0098387D">
        <w:rPr>
          <w:sz w:val="24"/>
          <w:szCs w:val="24"/>
        </w:rPr>
        <w:t xml:space="preserve"> who qualify for free meals shall</w:t>
      </w:r>
      <w:r>
        <w:rPr>
          <w:sz w:val="24"/>
          <w:szCs w:val="24"/>
        </w:rPr>
        <w:t xml:space="preserve"> not be denied a reimbursable meal even if they have accrued a negative balance on their account.</w:t>
      </w:r>
    </w:p>
    <w:p w14:paraId="3C107C4B" w14:textId="77777777" w:rsidR="0098387D" w:rsidRDefault="0098387D" w:rsidP="0098387D">
      <w:pPr>
        <w:pStyle w:val="ListParagraph"/>
        <w:spacing w:after="0" w:line="240" w:lineRule="auto"/>
        <w:rPr>
          <w:sz w:val="24"/>
          <w:szCs w:val="24"/>
        </w:rPr>
      </w:pPr>
    </w:p>
    <w:p w14:paraId="5F7D12E6" w14:textId="77777777" w:rsidR="00E35A5C" w:rsidRDefault="00E35A5C" w:rsidP="00E35A5C">
      <w:pPr>
        <w:pStyle w:val="ListParagraph"/>
        <w:numPr>
          <w:ilvl w:val="0"/>
          <w:numId w:val="1"/>
        </w:numPr>
        <w:spacing w:after="0" w:line="240" w:lineRule="auto"/>
        <w:rPr>
          <w:sz w:val="24"/>
          <w:szCs w:val="24"/>
        </w:rPr>
      </w:pPr>
      <w:r>
        <w:rPr>
          <w:sz w:val="24"/>
          <w:szCs w:val="24"/>
        </w:rPr>
        <w:t>Students who have money to pay for a reduced-price or full price meal at the time of service must be provided a meal. If the student intended to use the money for that day’s meal,</w:t>
      </w:r>
      <w:r w:rsidR="0098387D">
        <w:rPr>
          <w:sz w:val="24"/>
          <w:szCs w:val="24"/>
        </w:rPr>
        <w:t xml:space="preserve"> the school food authority (SFA) shall</w:t>
      </w:r>
      <w:r>
        <w:rPr>
          <w:sz w:val="24"/>
          <w:szCs w:val="24"/>
        </w:rPr>
        <w:t xml:space="preserve"> not use the money to repay a negative balance or other unpaid meal charge debt.</w:t>
      </w:r>
    </w:p>
    <w:p w14:paraId="5C4AF099" w14:textId="77777777" w:rsidR="0098387D" w:rsidRPr="0098387D" w:rsidRDefault="0098387D" w:rsidP="0098387D">
      <w:pPr>
        <w:spacing w:after="0" w:line="240" w:lineRule="auto"/>
        <w:rPr>
          <w:sz w:val="24"/>
          <w:szCs w:val="24"/>
        </w:rPr>
      </w:pPr>
    </w:p>
    <w:p w14:paraId="41FCFEC4" w14:textId="1CBBB702" w:rsidR="0098387D" w:rsidRDefault="00E35A5C" w:rsidP="00E35A5C">
      <w:pPr>
        <w:pStyle w:val="ListParagraph"/>
        <w:numPr>
          <w:ilvl w:val="0"/>
          <w:numId w:val="1"/>
        </w:numPr>
        <w:spacing w:after="0" w:line="240" w:lineRule="auto"/>
        <w:rPr>
          <w:sz w:val="24"/>
          <w:szCs w:val="24"/>
        </w:rPr>
      </w:pPr>
      <w:r>
        <w:rPr>
          <w:sz w:val="24"/>
          <w:szCs w:val="24"/>
        </w:rPr>
        <w:t xml:space="preserve">Students without funds to pay for a reduced-price or full price meal </w:t>
      </w:r>
      <w:r w:rsidR="002835CE">
        <w:rPr>
          <w:sz w:val="24"/>
          <w:szCs w:val="24"/>
        </w:rPr>
        <w:t>can</w:t>
      </w:r>
      <w:r>
        <w:rPr>
          <w:sz w:val="24"/>
          <w:szCs w:val="24"/>
        </w:rPr>
        <w:t xml:space="preserve"> charge their </w:t>
      </w:r>
      <w:bookmarkStart w:id="0" w:name="_GoBack"/>
      <w:bookmarkEnd w:id="0"/>
      <w:r>
        <w:rPr>
          <w:sz w:val="24"/>
          <w:szCs w:val="24"/>
        </w:rPr>
        <w:t>account for breakfast and/or lunch</w:t>
      </w:r>
    </w:p>
    <w:p w14:paraId="21C66F3C" w14:textId="77777777" w:rsidR="00E35A5C" w:rsidRPr="0098387D" w:rsidRDefault="00E35A5C" w:rsidP="0098387D">
      <w:pPr>
        <w:spacing w:after="0" w:line="240" w:lineRule="auto"/>
        <w:rPr>
          <w:sz w:val="24"/>
          <w:szCs w:val="24"/>
        </w:rPr>
      </w:pPr>
      <w:r w:rsidRPr="0098387D">
        <w:rPr>
          <w:sz w:val="24"/>
          <w:szCs w:val="24"/>
        </w:rPr>
        <w:t>.</w:t>
      </w:r>
    </w:p>
    <w:p w14:paraId="54A615F4" w14:textId="77777777" w:rsidR="00E35A5C" w:rsidRDefault="00E35A5C" w:rsidP="00E35A5C">
      <w:pPr>
        <w:pStyle w:val="ListParagraph"/>
        <w:numPr>
          <w:ilvl w:val="0"/>
          <w:numId w:val="1"/>
        </w:numPr>
        <w:spacing w:after="0" w:line="240" w:lineRule="auto"/>
        <w:rPr>
          <w:sz w:val="24"/>
          <w:szCs w:val="24"/>
        </w:rPr>
      </w:pPr>
      <w:r>
        <w:rPr>
          <w:sz w:val="24"/>
          <w:szCs w:val="24"/>
        </w:rPr>
        <w:t>Students who charge a meal will receive a reimbursable meal.</w:t>
      </w:r>
    </w:p>
    <w:p w14:paraId="02A52496" w14:textId="77777777" w:rsidR="0098387D" w:rsidRPr="0098387D" w:rsidRDefault="0098387D" w:rsidP="0098387D">
      <w:pPr>
        <w:spacing w:after="0" w:line="240" w:lineRule="auto"/>
        <w:ind w:left="360"/>
        <w:rPr>
          <w:sz w:val="24"/>
          <w:szCs w:val="24"/>
        </w:rPr>
      </w:pPr>
    </w:p>
    <w:p w14:paraId="14793409" w14:textId="77777777" w:rsidR="0098387D" w:rsidRDefault="0098387D" w:rsidP="0098387D">
      <w:pPr>
        <w:pStyle w:val="ListParagraph"/>
        <w:numPr>
          <w:ilvl w:val="0"/>
          <w:numId w:val="1"/>
        </w:numPr>
        <w:spacing w:after="0" w:line="240" w:lineRule="auto"/>
        <w:rPr>
          <w:sz w:val="24"/>
          <w:szCs w:val="24"/>
        </w:rPr>
      </w:pPr>
      <w:r>
        <w:rPr>
          <w:sz w:val="24"/>
          <w:szCs w:val="24"/>
        </w:rPr>
        <w:t>There shall</w:t>
      </w:r>
      <w:r w:rsidR="00E35A5C">
        <w:rPr>
          <w:sz w:val="24"/>
          <w:szCs w:val="24"/>
        </w:rPr>
        <w:t xml:space="preserve"> not be a maximum amount or number of meals allowed to charge.</w:t>
      </w:r>
    </w:p>
    <w:p w14:paraId="08CDF0D4" w14:textId="77777777" w:rsidR="0098387D" w:rsidRPr="0098387D" w:rsidRDefault="0098387D" w:rsidP="0098387D">
      <w:pPr>
        <w:spacing w:after="0" w:line="240" w:lineRule="auto"/>
        <w:rPr>
          <w:sz w:val="24"/>
          <w:szCs w:val="24"/>
        </w:rPr>
      </w:pPr>
    </w:p>
    <w:p w14:paraId="5F9C97EE" w14:textId="77777777" w:rsidR="00E82B51" w:rsidRDefault="0098387D" w:rsidP="00E35A5C">
      <w:pPr>
        <w:pStyle w:val="ListParagraph"/>
        <w:numPr>
          <w:ilvl w:val="0"/>
          <w:numId w:val="1"/>
        </w:numPr>
        <w:spacing w:after="0" w:line="240" w:lineRule="auto"/>
        <w:rPr>
          <w:sz w:val="24"/>
          <w:szCs w:val="24"/>
        </w:rPr>
      </w:pPr>
      <w:r>
        <w:rPr>
          <w:sz w:val="24"/>
          <w:szCs w:val="24"/>
        </w:rPr>
        <w:t>Adults shall</w:t>
      </w:r>
      <w:r w:rsidR="00E82B51">
        <w:rPr>
          <w:sz w:val="24"/>
          <w:szCs w:val="24"/>
        </w:rPr>
        <w:t xml:space="preserve"> only be allowed to charge meals up to $25 and any additional meal or food item will be refused. </w:t>
      </w:r>
    </w:p>
    <w:p w14:paraId="157D7807" w14:textId="77777777" w:rsidR="00E35A5C" w:rsidRPr="00E35A5C" w:rsidRDefault="00E35A5C" w:rsidP="00E35A5C">
      <w:pPr>
        <w:spacing w:after="0" w:line="240" w:lineRule="auto"/>
        <w:rPr>
          <w:sz w:val="24"/>
          <w:szCs w:val="24"/>
        </w:rPr>
      </w:pPr>
    </w:p>
    <w:p w14:paraId="097273F8" w14:textId="77777777" w:rsidR="00E35A5C" w:rsidRDefault="0098387D" w:rsidP="008F4ADB">
      <w:pPr>
        <w:spacing w:after="0" w:line="240" w:lineRule="auto"/>
        <w:rPr>
          <w:sz w:val="24"/>
          <w:szCs w:val="24"/>
          <w:u w:val="single"/>
        </w:rPr>
      </w:pPr>
      <w:r>
        <w:rPr>
          <w:sz w:val="24"/>
          <w:szCs w:val="24"/>
          <w:u w:val="single"/>
        </w:rPr>
        <w:t>COMMUNICATING THE POLICY</w:t>
      </w:r>
    </w:p>
    <w:p w14:paraId="06D7B941" w14:textId="77777777" w:rsidR="0098387D" w:rsidRDefault="0098387D" w:rsidP="008F4ADB">
      <w:pPr>
        <w:spacing w:after="0" w:line="240" w:lineRule="auto"/>
        <w:rPr>
          <w:sz w:val="24"/>
          <w:szCs w:val="24"/>
        </w:rPr>
      </w:pPr>
    </w:p>
    <w:p w14:paraId="1CEAA305" w14:textId="77777777" w:rsidR="0098387D" w:rsidRDefault="0098387D" w:rsidP="0039226A">
      <w:pPr>
        <w:pStyle w:val="ListParagraph"/>
        <w:numPr>
          <w:ilvl w:val="0"/>
          <w:numId w:val="2"/>
        </w:numPr>
        <w:spacing w:after="0" w:line="240" w:lineRule="auto"/>
        <w:rPr>
          <w:sz w:val="24"/>
          <w:szCs w:val="24"/>
        </w:rPr>
      </w:pPr>
      <w:r>
        <w:rPr>
          <w:sz w:val="24"/>
          <w:szCs w:val="24"/>
        </w:rPr>
        <w:t xml:space="preserve">Policy </w:t>
      </w:r>
      <w:r w:rsidRPr="0098387D">
        <w:rPr>
          <w:i/>
          <w:sz w:val="24"/>
          <w:szCs w:val="24"/>
        </w:rPr>
        <w:t>EEA, Unpaid Meal Charges</w:t>
      </w:r>
      <w:r>
        <w:rPr>
          <w:sz w:val="24"/>
          <w:szCs w:val="24"/>
        </w:rPr>
        <w:t>, shall</w:t>
      </w:r>
      <w:r w:rsidR="0039226A">
        <w:rPr>
          <w:sz w:val="24"/>
          <w:szCs w:val="24"/>
        </w:rPr>
        <w:t xml:space="preserve"> be communicated to the household by posting on the </w:t>
      </w:r>
      <w:r>
        <w:rPr>
          <w:sz w:val="24"/>
          <w:szCs w:val="24"/>
        </w:rPr>
        <w:t>Calcasieu Parish School Board (</w:t>
      </w:r>
      <w:r w:rsidR="0039226A">
        <w:rPr>
          <w:sz w:val="24"/>
          <w:szCs w:val="24"/>
        </w:rPr>
        <w:t>CPSB</w:t>
      </w:r>
      <w:r>
        <w:rPr>
          <w:sz w:val="24"/>
          <w:szCs w:val="24"/>
        </w:rPr>
        <w:t>)</w:t>
      </w:r>
      <w:r w:rsidR="0039226A">
        <w:rPr>
          <w:sz w:val="24"/>
          <w:szCs w:val="24"/>
        </w:rPr>
        <w:t xml:space="preserve"> website</w:t>
      </w:r>
      <w:r w:rsidR="008B235E">
        <w:rPr>
          <w:sz w:val="24"/>
          <w:szCs w:val="24"/>
        </w:rPr>
        <w:t xml:space="preserve"> and will be sent home with each student at the beginning of the school year. </w:t>
      </w:r>
    </w:p>
    <w:p w14:paraId="707CB754" w14:textId="77777777" w:rsidR="0039226A" w:rsidRDefault="0039226A" w:rsidP="0098387D">
      <w:pPr>
        <w:pStyle w:val="ListParagraph"/>
        <w:spacing w:after="0" w:line="240" w:lineRule="auto"/>
        <w:rPr>
          <w:sz w:val="24"/>
          <w:szCs w:val="24"/>
        </w:rPr>
      </w:pPr>
      <w:r>
        <w:rPr>
          <w:sz w:val="24"/>
          <w:szCs w:val="24"/>
        </w:rPr>
        <w:t xml:space="preserve"> </w:t>
      </w:r>
    </w:p>
    <w:p w14:paraId="7B91FA69" w14:textId="77777777" w:rsidR="0039226A" w:rsidRDefault="0098387D" w:rsidP="0039226A">
      <w:pPr>
        <w:pStyle w:val="ListParagraph"/>
        <w:numPr>
          <w:ilvl w:val="0"/>
          <w:numId w:val="2"/>
        </w:numPr>
        <w:spacing w:after="0" w:line="240" w:lineRule="auto"/>
        <w:rPr>
          <w:sz w:val="24"/>
          <w:szCs w:val="24"/>
        </w:rPr>
      </w:pPr>
      <w:r>
        <w:rPr>
          <w:sz w:val="24"/>
          <w:szCs w:val="24"/>
        </w:rPr>
        <w:t>The policy shall</w:t>
      </w:r>
      <w:r w:rsidR="0039226A">
        <w:rPr>
          <w:sz w:val="24"/>
          <w:szCs w:val="24"/>
        </w:rPr>
        <w:t xml:space="preserve"> be communicated to all School Nutrition Program </w:t>
      </w:r>
      <w:r>
        <w:rPr>
          <w:sz w:val="24"/>
          <w:szCs w:val="24"/>
        </w:rPr>
        <w:t xml:space="preserve">(SNP) </w:t>
      </w:r>
      <w:r w:rsidR="0039226A">
        <w:rPr>
          <w:sz w:val="24"/>
          <w:szCs w:val="24"/>
        </w:rPr>
        <w:t xml:space="preserve">staff and </w:t>
      </w:r>
      <w:r w:rsidR="0028125E">
        <w:rPr>
          <w:sz w:val="24"/>
          <w:szCs w:val="24"/>
        </w:rPr>
        <w:t xml:space="preserve">the staff will </w:t>
      </w:r>
      <w:r w:rsidR="0039226A">
        <w:rPr>
          <w:sz w:val="24"/>
          <w:szCs w:val="24"/>
        </w:rPr>
        <w:t xml:space="preserve">receive training as part of their professional development. </w:t>
      </w:r>
    </w:p>
    <w:p w14:paraId="2A4099BD" w14:textId="77777777" w:rsidR="0098387D" w:rsidRPr="0098387D" w:rsidRDefault="0098387D" w:rsidP="0098387D">
      <w:pPr>
        <w:spacing w:after="0" w:line="240" w:lineRule="auto"/>
        <w:rPr>
          <w:sz w:val="24"/>
          <w:szCs w:val="24"/>
        </w:rPr>
      </w:pPr>
    </w:p>
    <w:p w14:paraId="0B56AA6D" w14:textId="77777777" w:rsidR="0039226A" w:rsidRDefault="0039226A" w:rsidP="0039226A">
      <w:pPr>
        <w:pStyle w:val="ListParagraph"/>
        <w:numPr>
          <w:ilvl w:val="0"/>
          <w:numId w:val="2"/>
        </w:numPr>
        <w:spacing w:after="0" w:line="240" w:lineRule="auto"/>
        <w:rPr>
          <w:sz w:val="24"/>
          <w:szCs w:val="24"/>
        </w:rPr>
      </w:pPr>
      <w:r>
        <w:rPr>
          <w:sz w:val="24"/>
          <w:szCs w:val="24"/>
        </w:rPr>
        <w:t>Documentation of the comm</w:t>
      </w:r>
      <w:r w:rsidR="0098387D">
        <w:rPr>
          <w:sz w:val="24"/>
          <w:szCs w:val="24"/>
        </w:rPr>
        <w:t>unication and training plan shall</w:t>
      </w:r>
      <w:r>
        <w:rPr>
          <w:sz w:val="24"/>
          <w:szCs w:val="24"/>
        </w:rPr>
        <w:t xml:space="preserve"> be maintained for the Federal Program Administrative Review.</w:t>
      </w:r>
    </w:p>
    <w:p w14:paraId="16D4C502" w14:textId="77777777" w:rsidR="0039226A" w:rsidRPr="0039226A" w:rsidRDefault="0039226A" w:rsidP="0039226A">
      <w:pPr>
        <w:spacing w:after="0" w:line="240" w:lineRule="auto"/>
        <w:rPr>
          <w:sz w:val="24"/>
          <w:szCs w:val="24"/>
        </w:rPr>
      </w:pPr>
    </w:p>
    <w:p w14:paraId="7B96940C" w14:textId="77777777" w:rsidR="0039226A" w:rsidRDefault="0098387D" w:rsidP="0039226A">
      <w:pPr>
        <w:spacing w:after="0" w:line="240" w:lineRule="auto"/>
        <w:rPr>
          <w:sz w:val="24"/>
          <w:szCs w:val="24"/>
          <w:u w:val="single"/>
        </w:rPr>
      </w:pPr>
      <w:r>
        <w:rPr>
          <w:sz w:val="24"/>
          <w:szCs w:val="24"/>
          <w:u w:val="single"/>
        </w:rPr>
        <w:t>NOTIFYING THE HOUSEHOLD OF NEGATIVE BALANCES</w:t>
      </w:r>
    </w:p>
    <w:p w14:paraId="5ABA84A6" w14:textId="77777777" w:rsidR="0098387D" w:rsidRDefault="0098387D" w:rsidP="0039226A">
      <w:pPr>
        <w:spacing w:after="0" w:line="240" w:lineRule="auto"/>
        <w:rPr>
          <w:sz w:val="24"/>
          <w:szCs w:val="24"/>
          <w:u w:val="single"/>
        </w:rPr>
      </w:pPr>
    </w:p>
    <w:p w14:paraId="407FAA8C" w14:textId="77777777" w:rsidR="00D716E7" w:rsidRDefault="0098387D" w:rsidP="00D716E7">
      <w:pPr>
        <w:pStyle w:val="ListParagraph"/>
        <w:numPr>
          <w:ilvl w:val="0"/>
          <w:numId w:val="4"/>
        </w:numPr>
        <w:spacing w:after="0" w:line="240" w:lineRule="auto"/>
        <w:rPr>
          <w:sz w:val="24"/>
          <w:szCs w:val="24"/>
        </w:rPr>
      </w:pPr>
      <w:r>
        <w:rPr>
          <w:sz w:val="24"/>
          <w:szCs w:val="24"/>
        </w:rPr>
        <w:t>The SFA shall notify households of</w:t>
      </w:r>
      <w:r w:rsidR="00BA19A7">
        <w:rPr>
          <w:sz w:val="24"/>
          <w:szCs w:val="24"/>
        </w:rPr>
        <w:t xml:space="preserve"> negative balances by a variety of different methods:</w:t>
      </w:r>
    </w:p>
    <w:p w14:paraId="7CBE9951" w14:textId="77777777" w:rsidR="00BA19A7" w:rsidRPr="00D716E7" w:rsidRDefault="00FE3D08" w:rsidP="00D716E7">
      <w:pPr>
        <w:pStyle w:val="ListParagraph"/>
        <w:numPr>
          <w:ilvl w:val="1"/>
          <w:numId w:val="5"/>
        </w:numPr>
        <w:spacing w:after="0" w:line="240" w:lineRule="auto"/>
        <w:rPr>
          <w:sz w:val="24"/>
          <w:szCs w:val="24"/>
        </w:rPr>
      </w:pPr>
      <w:r w:rsidRPr="00D716E7">
        <w:rPr>
          <w:sz w:val="24"/>
          <w:szCs w:val="24"/>
        </w:rPr>
        <w:lastRenderedPageBreak/>
        <w:t>Schoo</w:t>
      </w:r>
      <w:r w:rsidR="0098387D" w:rsidRPr="00D716E7">
        <w:rPr>
          <w:sz w:val="24"/>
          <w:szCs w:val="24"/>
        </w:rPr>
        <w:t>l Messenger shall</w:t>
      </w:r>
      <w:r w:rsidRPr="00D716E7">
        <w:rPr>
          <w:sz w:val="24"/>
          <w:szCs w:val="24"/>
        </w:rPr>
        <w:t xml:space="preserve"> be utilized to send automated messages to parent’s co</w:t>
      </w:r>
      <w:r w:rsidR="0098387D" w:rsidRPr="00D716E7">
        <w:rPr>
          <w:sz w:val="24"/>
          <w:szCs w:val="24"/>
        </w:rPr>
        <w:t>ntact numbers. The messages shall</w:t>
      </w:r>
      <w:r w:rsidRPr="00D716E7">
        <w:rPr>
          <w:sz w:val="24"/>
          <w:szCs w:val="24"/>
        </w:rPr>
        <w:t xml:space="preserve"> be sen</w:t>
      </w:r>
      <w:r w:rsidR="0098387D" w:rsidRPr="00D716E7">
        <w:rPr>
          <w:sz w:val="24"/>
          <w:szCs w:val="24"/>
        </w:rPr>
        <w:t>t once monthly for</w:t>
      </w:r>
      <w:r w:rsidRPr="00D716E7">
        <w:rPr>
          <w:sz w:val="24"/>
          <w:szCs w:val="24"/>
        </w:rPr>
        <w:t xml:space="preserve"> any nega</w:t>
      </w:r>
      <w:r w:rsidR="0098387D" w:rsidRPr="00D716E7">
        <w:rPr>
          <w:sz w:val="24"/>
          <w:szCs w:val="24"/>
        </w:rPr>
        <w:t>tive balance</w:t>
      </w:r>
      <w:r w:rsidR="0028125E" w:rsidRPr="00D716E7">
        <w:rPr>
          <w:sz w:val="24"/>
          <w:szCs w:val="24"/>
        </w:rPr>
        <w:t xml:space="preserve"> and excessive</w:t>
      </w:r>
      <w:r w:rsidRPr="00D716E7">
        <w:rPr>
          <w:sz w:val="24"/>
          <w:szCs w:val="24"/>
        </w:rPr>
        <w:t xml:space="preserve"> nega</w:t>
      </w:r>
      <w:r w:rsidR="0098387D" w:rsidRPr="00D716E7">
        <w:rPr>
          <w:sz w:val="24"/>
          <w:szCs w:val="24"/>
        </w:rPr>
        <w:t>tive balances. The messages shall</w:t>
      </w:r>
      <w:r w:rsidRPr="00D716E7">
        <w:rPr>
          <w:sz w:val="24"/>
          <w:szCs w:val="24"/>
        </w:rPr>
        <w:t xml:space="preserve"> differ depending on the situation. </w:t>
      </w:r>
    </w:p>
    <w:p w14:paraId="370CBE2C" w14:textId="77777777" w:rsidR="0098387D" w:rsidRDefault="0098387D" w:rsidP="0098387D">
      <w:pPr>
        <w:pStyle w:val="ListParagraph"/>
        <w:spacing w:after="0" w:line="240" w:lineRule="auto"/>
        <w:ind w:left="1440"/>
        <w:rPr>
          <w:sz w:val="24"/>
          <w:szCs w:val="24"/>
        </w:rPr>
      </w:pPr>
    </w:p>
    <w:p w14:paraId="7EE880A9" w14:textId="77777777" w:rsidR="00FE3D08" w:rsidRDefault="0098387D" w:rsidP="00D716E7">
      <w:pPr>
        <w:pStyle w:val="ListParagraph"/>
        <w:numPr>
          <w:ilvl w:val="1"/>
          <w:numId w:val="5"/>
        </w:numPr>
        <w:spacing w:after="0" w:line="240" w:lineRule="auto"/>
        <w:rPr>
          <w:sz w:val="24"/>
          <w:szCs w:val="24"/>
        </w:rPr>
      </w:pPr>
      <w:r>
        <w:rPr>
          <w:sz w:val="24"/>
          <w:szCs w:val="24"/>
        </w:rPr>
        <w:t>The cafeteria manager shall</w:t>
      </w:r>
      <w:r w:rsidR="00FE3D08">
        <w:rPr>
          <w:sz w:val="24"/>
          <w:szCs w:val="24"/>
        </w:rPr>
        <w:t xml:space="preserve"> provide students with printed documentation of negative balances.</w:t>
      </w:r>
    </w:p>
    <w:p w14:paraId="389CDC11" w14:textId="77777777" w:rsidR="0098387D" w:rsidRPr="0098387D" w:rsidRDefault="0098387D" w:rsidP="0098387D">
      <w:pPr>
        <w:spacing w:after="0" w:line="240" w:lineRule="auto"/>
        <w:rPr>
          <w:sz w:val="24"/>
          <w:szCs w:val="24"/>
        </w:rPr>
      </w:pPr>
    </w:p>
    <w:p w14:paraId="74B337A3" w14:textId="77777777" w:rsidR="0098387D" w:rsidRDefault="00FE3D08" w:rsidP="00D716E7">
      <w:pPr>
        <w:pStyle w:val="ListParagraph"/>
        <w:numPr>
          <w:ilvl w:val="1"/>
          <w:numId w:val="5"/>
        </w:numPr>
        <w:spacing w:after="0" w:line="240" w:lineRule="auto"/>
        <w:rPr>
          <w:sz w:val="24"/>
          <w:szCs w:val="24"/>
        </w:rPr>
      </w:pPr>
      <w:r w:rsidRPr="0028125E">
        <w:rPr>
          <w:sz w:val="24"/>
          <w:szCs w:val="24"/>
        </w:rPr>
        <w:t>A letter from the central office detailing the amount owe</w:t>
      </w:r>
      <w:r w:rsidR="0098387D">
        <w:rPr>
          <w:sz w:val="24"/>
          <w:szCs w:val="24"/>
        </w:rPr>
        <w:t>d and procedure for payment shall</w:t>
      </w:r>
      <w:r w:rsidRPr="0028125E">
        <w:rPr>
          <w:sz w:val="24"/>
          <w:szCs w:val="24"/>
        </w:rPr>
        <w:t xml:space="preserve"> be maile</w:t>
      </w:r>
      <w:r w:rsidR="0028125E">
        <w:rPr>
          <w:sz w:val="24"/>
          <w:szCs w:val="24"/>
        </w:rPr>
        <w:t>d to the parent’s address at $50</w:t>
      </w:r>
      <w:r w:rsidRPr="0028125E">
        <w:rPr>
          <w:sz w:val="24"/>
          <w:szCs w:val="24"/>
        </w:rPr>
        <w:t xml:space="preserve"> negative balance.</w:t>
      </w:r>
    </w:p>
    <w:p w14:paraId="1A6A62A6" w14:textId="77777777" w:rsidR="00FE3D08" w:rsidRPr="0098387D" w:rsidRDefault="00FE3D08" w:rsidP="0098387D">
      <w:pPr>
        <w:spacing w:after="0" w:line="240" w:lineRule="auto"/>
        <w:rPr>
          <w:sz w:val="24"/>
          <w:szCs w:val="24"/>
        </w:rPr>
      </w:pPr>
      <w:r w:rsidRPr="0098387D">
        <w:rPr>
          <w:sz w:val="24"/>
          <w:szCs w:val="24"/>
        </w:rPr>
        <w:t xml:space="preserve"> </w:t>
      </w:r>
    </w:p>
    <w:p w14:paraId="7E574CA6" w14:textId="77777777" w:rsidR="00FE3D08" w:rsidRDefault="00FE3D08" w:rsidP="00D716E7">
      <w:pPr>
        <w:pStyle w:val="ListParagraph"/>
        <w:numPr>
          <w:ilvl w:val="1"/>
          <w:numId w:val="5"/>
        </w:numPr>
        <w:spacing w:after="0" w:line="240" w:lineRule="auto"/>
        <w:rPr>
          <w:sz w:val="24"/>
          <w:szCs w:val="24"/>
        </w:rPr>
      </w:pPr>
      <w:r>
        <w:rPr>
          <w:sz w:val="24"/>
          <w:szCs w:val="24"/>
        </w:rPr>
        <w:t>A c</w:t>
      </w:r>
      <w:r w:rsidR="0098387D">
        <w:rPr>
          <w:sz w:val="24"/>
          <w:szCs w:val="24"/>
        </w:rPr>
        <w:t>ertified letter shall</w:t>
      </w:r>
      <w:r>
        <w:rPr>
          <w:sz w:val="24"/>
          <w:szCs w:val="24"/>
        </w:rPr>
        <w:t xml:space="preserve"> be mailed from the central office detailing the amount owed and procedure for payment to the parent’s address at $150 negative balance. </w:t>
      </w:r>
    </w:p>
    <w:p w14:paraId="76246E0B" w14:textId="77777777" w:rsidR="00D716E7" w:rsidRPr="00D716E7" w:rsidRDefault="00D716E7" w:rsidP="00D716E7">
      <w:pPr>
        <w:spacing w:after="0" w:line="240" w:lineRule="auto"/>
        <w:rPr>
          <w:sz w:val="24"/>
          <w:szCs w:val="24"/>
        </w:rPr>
      </w:pPr>
    </w:p>
    <w:p w14:paraId="6E9E9201" w14:textId="77777777" w:rsidR="00FE3D08" w:rsidRDefault="00FE3D08" w:rsidP="00D716E7">
      <w:pPr>
        <w:pStyle w:val="ListParagraph"/>
        <w:numPr>
          <w:ilvl w:val="1"/>
          <w:numId w:val="5"/>
        </w:numPr>
        <w:spacing w:after="0" w:line="240" w:lineRule="auto"/>
        <w:rPr>
          <w:sz w:val="24"/>
          <w:szCs w:val="24"/>
        </w:rPr>
      </w:pPr>
      <w:r>
        <w:rPr>
          <w:sz w:val="24"/>
          <w:szCs w:val="24"/>
        </w:rPr>
        <w:t xml:space="preserve">The consequences of non-payment will be determined on a case-by-case basis. </w:t>
      </w:r>
    </w:p>
    <w:p w14:paraId="545433DD" w14:textId="77777777" w:rsidR="00D716E7" w:rsidRPr="00D716E7" w:rsidRDefault="00D716E7" w:rsidP="00D716E7">
      <w:pPr>
        <w:spacing w:after="0" w:line="240" w:lineRule="auto"/>
        <w:rPr>
          <w:sz w:val="24"/>
          <w:szCs w:val="24"/>
        </w:rPr>
      </w:pPr>
    </w:p>
    <w:p w14:paraId="3D5676BC" w14:textId="77777777" w:rsidR="00E753B7" w:rsidRDefault="00E753B7" w:rsidP="00D716E7">
      <w:pPr>
        <w:pStyle w:val="ListParagraph"/>
        <w:numPr>
          <w:ilvl w:val="1"/>
          <w:numId w:val="5"/>
        </w:numPr>
        <w:spacing w:after="0" w:line="240" w:lineRule="auto"/>
        <w:rPr>
          <w:sz w:val="24"/>
          <w:szCs w:val="24"/>
        </w:rPr>
      </w:pPr>
      <w:r>
        <w:rPr>
          <w:sz w:val="24"/>
          <w:szCs w:val="24"/>
        </w:rPr>
        <w:t xml:space="preserve">Students may be denied participation in extracurricular activities such as prom, homecoming dances, and field trips. </w:t>
      </w:r>
      <w:r w:rsidR="00D716E7">
        <w:rPr>
          <w:sz w:val="24"/>
          <w:szCs w:val="24"/>
        </w:rPr>
        <w:t>The denial of participation shall</w:t>
      </w:r>
      <w:r>
        <w:rPr>
          <w:sz w:val="24"/>
          <w:szCs w:val="24"/>
        </w:rPr>
        <w:t xml:space="preserve"> be at the discretion of the principal. </w:t>
      </w:r>
    </w:p>
    <w:p w14:paraId="3915CEC8" w14:textId="77777777" w:rsidR="008B235E" w:rsidRPr="008B235E" w:rsidRDefault="008B235E" w:rsidP="008B235E">
      <w:pPr>
        <w:pStyle w:val="ListParagraph"/>
        <w:rPr>
          <w:sz w:val="24"/>
          <w:szCs w:val="24"/>
        </w:rPr>
      </w:pPr>
    </w:p>
    <w:p w14:paraId="14AAA93F" w14:textId="77777777" w:rsidR="008B235E" w:rsidRDefault="008B235E" w:rsidP="00D716E7">
      <w:pPr>
        <w:pStyle w:val="ListParagraph"/>
        <w:numPr>
          <w:ilvl w:val="1"/>
          <w:numId w:val="5"/>
        </w:numPr>
        <w:spacing w:after="0" w:line="240" w:lineRule="auto"/>
        <w:rPr>
          <w:sz w:val="24"/>
          <w:szCs w:val="24"/>
        </w:rPr>
      </w:pPr>
      <w:r>
        <w:rPr>
          <w:sz w:val="24"/>
          <w:szCs w:val="24"/>
        </w:rPr>
        <w:t>All unpaid negative balances will be turned over to a collection agency at the end</w:t>
      </w:r>
      <w:r w:rsidR="003658C9">
        <w:rPr>
          <w:sz w:val="24"/>
          <w:szCs w:val="24"/>
        </w:rPr>
        <w:t xml:space="preserve"> of each school year. </w:t>
      </w:r>
    </w:p>
    <w:p w14:paraId="722BA083" w14:textId="77777777" w:rsidR="00D716E7" w:rsidRPr="00D716E7" w:rsidRDefault="00D716E7" w:rsidP="00D716E7">
      <w:pPr>
        <w:spacing w:after="0" w:line="240" w:lineRule="auto"/>
        <w:rPr>
          <w:sz w:val="24"/>
          <w:szCs w:val="24"/>
        </w:rPr>
      </w:pPr>
    </w:p>
    <w:p w14:paraId="0EB9BE80" w14:textId="77777777" w:rsidR="00FE3D08" w:rsidRDefault="00FE3D08" w:rsidP="00D716E7">
      <w:pPr>
        <w:pStyle w:val="ListParagraph"/>
        <w:numPr>
          <w:ilvl w:val="1"/>
          <w:numId w:val="5"/>
        </w:numPr>
        <w:spacing w:after="0" w:line="240" w:lineRule="auto"/>
        <w:rPr>
          <w:sz w:val="24"/>
          <w:szCs w:val="24"/>
        </w:rPr>
      </w:pPr>
      <w:r>
        <w:rPr>
          <w:sz w:val="24"/>
          <w:szCs w:val="24"/>
        </w:rPr>
        <w:t>The persons responsible for managing unpaid meal charges are:</w:t>
      </w:r>
    </w:p>
    <w:p w14:paraId="06CDE030" w14:textId="77777777" w:rsidR="00FE3D08" w:rsidRDefault="00D716E7" w:rsidP="00D716E7">
      <w:pPr>
        <w:pStyle w:val="ListParagraph"/>
        <w:numPr>
          <w:ilvl w:val="2"/>
          <w:numId w:val="5"/>
        </w:numPr>
        <w:spacing w:after="0" w:line="240" w:lineRule="auto"/>
        <w:rPr>
          <w:sz w:val="24"/>
          <w:szCs w:val="24"/>
        </w:rPr>
      </w:pPr>
      <w:r>
        <w:rPr>
          <w:sz w:val="24"/>
          <w:szCs w:val="24"/>
        </w:rPr>
        <w:t>SNP school-based staff shall</w:t>
      </w:r>
      <w:r w:rsidR="00FE3D08">
        <w:rPr>
          <w:sz w:val="24"/>
          <w:szCs w:val="24"/>
        </w:rPr>
        <w:t xml:space="preserve"> collect payment for meals at the POS</w:t>
      </w:r>
    </w:p>
    <w:p w14:paraId="231E40F2" w14:textId="77777777" w:rsidR="00FE3D08" w:rsidRDefault="00D716E7" w:rsidP="00D716E7">
      <w:pPr>
        <w:pStyle w:val="ListParagraph"/>
        <w:numPr>
          <w:ilvl w:val="2"/>
          <w:numId w:val="5"/>
        </w:numPr>
        <w:spacing w:after="0" w:line="240" w:lineRule="auto"/>
        <w:rPr>
          <w:sz w:val="24"/>
          <w:szCs w:val="24"/>
        </w:rPr>
      </w:pPr>
      <w:r>
        <w:rPr>
          <w:sz w:val="24"/>
          <w:szCs w:val="24"/>
        </w:rPr>
        <w:t>SNP central office shall</w:t>
      </w:r>
      <w:r w:rsidR="00FE3D08">
        <w:rPr>
          <w:sz w:val="24"/>
          <w:szCs w:val="24"/>
        </w:rPr>
        <w:t xml:space="preserve"> contact households</w:t>
      </w:r>
    </w:p>
    <w:p w14:paraId="5AAE3D88" w14:textId="77777777" w:rsidR="00FE3D08" w:rsidRDefault="00FE3D08" w:rsidP="00D716E7">
      <w:pPr>
        <w:pStyle w:val="ListParagraph"/>
        <w:numPr>
          <w:ilvl w:val="2"/>
          <w:numId w:val="5"/>
        </w:numPr>
        <w:spacing w:after="0" w:line="240" w:lineRule="auto"/>
        <w:rPr>
          <w:sz w:val="24"/>
          <w:szCs w:val="24"/>
        </w:rPr>
      </w:pPr>
      <w:r>
        <w:rPr>
          <w:sz w:val="24"/>
          <w:szCs w:val="24"/>
        </w:rPr>
        <w:t xml:space="preserve">SNP central office may collect payment </w:t>
      </w:r>
    </w:p>
    <w:p w14:paraId="697B7E65" w14:textId="77777777" w:rsidR="00FE3D08" w:rsidRDefault="00FE3D08" w:rsidP="00FE3D08">
      <w:pPr>
        <w:spacing w:after="0" w:line="240" w:lineRule="auto"/>
        <w:rPr>
          <w:sz w:val="24"/>
          <w:szCs w:val="24"/>
        </w:rPr>
      </w:pPr>
    </w:p>
    <w:p w14:paraId="41ACC96D" w14:textId="77777777" w:rsidR="00FE3D08" w:rsidRDefault="00E82B51" w:rsidP="00FE3D08">
      <w:pPr>
        <w:spacing w:after="0" w:line="240" w:lineRule="auto"/>
        <w:rPr>
          <w:sz w:val="24"/>
          <w:szCs w:val="24"/>
        </w:rPr>
      </w:pPr>
      <w:r>
        <w:rPr>
          <w:sz w:val="24"/>
          <w:szCs w:val="24"/>
        </w:rPr>
        <w:t xml:space="preserve">Delinquent debt is allowable in the School Nutrition Program and may be carried over to the next successive school year. </w:t>
      </w:r>
    </w:p>
    <w:p w14:paraId="1CB8212F" w14:textId="77777777" w:rsidR="00D716E7" w:rsidRDefault="00D716E7" w:rsidP="00FE3D08">
      <w:pPr>
        <w:spacing w:after="0" w:line="240" w:lineRule="auto"/>
        <w:rPr>
          <w:sz w:val="24"/>
          <w:szCs w:val="24"/>
          <w:u w:val="single"/>
        </w:rPr>
      </w:pPr>
    </w:p>
    <w:p w14:paraId="5EDDBF98" w14:textId="77777777" w:rsidR="00D716E7" w:rsidRDefault="00D716E7" w:rsidP="00FE3D08">
      <w:pPr>
        <w:spacing w:after="0" w:line="240" w:lineRule="auto"/>
        <w:rPr>
          <w:sz w:val="24"/>
          <w:szCs w:val="24"/>
          <w:u w:val="single"/>
        </w:rPr>
      </w:pPr>
      <w:r>
        <w:rPr>
          <w:sz w:val="24"/>
          <w:szCs w:val="24"/>
          <w:u w:val="single"/>
        </w:rPr>
        <w:t>ASSISTANCE TO HOUSEHOLDS</w:t>
      </w:r>
    </w:p>
    <w:p w14:paraId="7C0C1AE8" w14:textId="77777777" w:rsidR="00D716E7" w:rsidRDefault="00D716E7" w:rsidP="00FE3D08">
      <w:pPr>
        <w:spacing w:after="0" w:line="240" w:lineRule="auto"/>
        <w:rPr>
          <w:sz w:val="24"/>
          <w:szCs w:val="24"/>
          <w:u w:val="single"/>
        </w:rPr>
      </w:pPr>
    </w:p>
    <w:p w14:paraId="77713DAC" w14:textId="77777777" w:rsidR="00E82B51" w:rsidRDefault="00E82B51" w:rsidP="00FE3D08">
      <w:pPr>
        <w:spacing w:after="0" w:line="240" w:lineRule="auto"/>
        <w:rPr>
          <w:sz w:val="24"/>
          <w:szCs w:val="24"/>
        </w:rPr>
      </w:pPr>
      <w:r>
        <w:rPr>
          <w:sz w:val="24"/>
          <w:szCs w:val="24"/>
        </w:rPr>
        <w:t xml:space="preserve">Households with questions or needing assistance may contact the school office where their student attends or the School Nutrition Program office at 337-217-4360. </w:t>
      </w:r>
    </w:p>
    <w:p w14:paraId="4E57F861" w14:textId="77777777" w:rsidR="00E82B51" w:rsidRDefault="00E82B51" w:rsidP="00FE3D08">
      <w:pPr>
        <w:spacing w:after="0" w:line="240" w:lineRule="auto"/>
        <w:rPr>
          <w:sz w:val="24"/>
          <w:szCs w:val="24"/>
        </w:rPr>
      </w:pPr>
    </w:p>
    <w:p w14:paraId="1FE075AF" w14:textId="77777777" w:rsidR="00E82B51" w:rsidRPr="00E82B51" w:rsidRDefault="00E82B51" w:rsidP="00FE3D08">
      <w:pPr>
        <w:spacing w:after="0" w:line="240" w:lineRule="auto"/>
        <w:rPr>
          <w:sz w:val="24"/>
          <w:szCs w:val="24"/>
          <w:u w:val="single"/>
        </w:rPr>
      </w:pPr>
    </w:p>
    <w:p w14:paraId="010F8941" w14:textId="77777777" w:rsidR="00D716E7" w:rsidRDefault="00D716E7" w:rsidP="00FE3D08">
      <w:pPr>
        <w:spacing w:after="0" w:line="240" w:lineRule="auto"/>
        <w:rPr>
          <w:sz w:val="24"/>
          <w:szCs w:val="24"/>
        </w:rPr>
      </w:pPr>
      <w:r>
        <w:rPr>
          <w:sz w:val="24"/>
          <w:szCs w:val="24"/>
        </w:rPr>
        <w:t>New policy:</w:t>
      </w:r>
    </w:p>
    <w:p w14:paraId="4C112B73" w14:textId="77777777" w:rsidR="00D716E7" w:rsidRDefault="00D716E7" w:rsidP="00FE3D08">
      <w:pPr>
        <w:spacing w:after="0" w:line="240" w:lineRule="auto"/>
        <w:rPr>
          <w:sz w:val="24"/>
          <w:szCs w:val="24"/>
        </w:rPr>
      </w:pPr>
      <w:r>
        <w:rPr>
          <w:sz w:val="24"/>
          <w:szCs w:val="24"/>
        </w:rPr>
        <w:t xml:space="preserve">Ref: </w:t>
      </w:r>
      <w:r>
        <w:rPr>
          <w:sz w:val="24"/>
          <w:szCs w:val="24"/>
        </w:rPr>
        <w:tab/>
        <w:t>2 CFR Part 200 Section 143 of the Healthy, Hunger-Free Kids Act of 2010;</w:t>
      </w:r>
      <w:r w:rsidR="00A20D4B">
        <w:rPr>
          <w:sz w:val="24"/>
          <w:szCs w:val="24"/>
        </w:rPr>
        <w:t xml:space="preserve"> Board minutes</w:t>
      </w:r>
    </w:p>
    <w:p w14:paraId="49BCB464" w14:textId="77777777" w:rsidR="00A20D4B" w:rsidRDefault="00A20D4B" w:rsidP="00A20D4B">
      <w:pPr>
        <w:pBdr>
          <w:top w:val="single" w:sz="4" w:space="2" w:color="auto"/>
        </w:pBdr>
        <w:spacing w:after="0"/>
        <w:jc w:val="both"/>
        <w:rPr>
          <w:rFonts w:cs="Arial"/>
          <w:b/>
          <w:bCs/>
          <w:iCs/>
        </w:rPr>
      </w:pPr>
    </w:p>
    <w:p w14:paraId="2E33E210" w14:textId="77777777" w:rsidR="001C4CDF" w:rsidRPr="00E82956" w:rsidRDefault="001C4CDF" w:rsidP="001C4CDF">
      <w:pPr>
        <w:pStyle w:val="PlainText"/>
        <w:spacing w:after="0"/>
        <w:jc w:val="both"/>
        <w:rPr>
          <w:rFonts w:asciiTheme="minorHAnsi" w:hAnsiTheme="minorHAnsi"/>
          <w:sz w:val="22"/>
          <w:szCs w:val="22"/>
        </w:rPr>
      </w:pPr>
      <w:r w:rsidRPr="00E82956">
        <w:rPr>
          <w:rFonts w:asciiTheme="minorHAnsi" w:hAnsiTheme="minorHAnsi"/>
          <w:bCs/>
          <w:sz w:val="22"/>
          <w:szCs w:val="22"/>
        </w:rPr>
        <w:t>This institution is an equal opportunity provider.</w:t>
      </w:r>
    </w:p>
    <w:p w14:paraId="67614EEC" w14:textId="77777777" w:rsidR="00A20D4B" w:rsidRDefault="00A20D4B" w:rsidP="00A20D4B">
      <w:pPr>
        <w:pBdr>
          <w:top w:val="single" w:sz="4" w:space="2" w:color="auto"/>
        </w:pBdr>
        <w:spacing w:after="0"/>
        <w:jc w:val="both"/>
        <w:rPr>
          <w:rFonts w:cs="Arial"/>
          <w:b/>
          <w:bCs/>
          <w:iCs/>
        </w:rPr>
      </w:pPr>
    </w:p>
    <w:p w14:paraId="1B1D9179" w14:textId="77777777" w:rsidR="00A20D4B" w:rsidRPr="00E82956" w:rsidRDefault="00A20D4B" w:rsidP="00A20D4B">
      <w:pPr>
        <w:pBdr>
          <w:top w:val="single" w:sz="4" w:space="2" w:color="auto"/>
        </w:pBdr>
        <w:spacing w:after="0"/>
        <w:jc w:val="both"/>
        <w:rPr>
          <w:rFonts w:cs="Arial"/>
        </w:rPr>
      </w:pPr>
      <w:r w:rsidRPr="00E82956">
        <w:rPr>
          <w:rFonts w:cs="Arial"/>
          <w:b/>
          <w:bCs/>
          <w:iCs/>
        </w:rPr>
        <w:t>Non-Discrimination Statement:</w:t>
      </w:r>
      <w:r w:rsidRPr="00E82956">
        <w:rPr>
          <w:rFonts w:cs="Arial"/>
          <w:iCs/>
        </w:rPr>
        <w:t xml:space="preserve"> </w:t>
      </w:r>
      <w:r w:rsidRPr="00E82956">
        <w:rPr>
          <w:rFonts w:cs="Arial"/>
        </w:rPr>
        <w:t>This explains what to do if you believe you have been treated unfairly.</w:t>
      </w:r>
    </w:p>
    <w:p w14:paraId="58628B59" w14:textId="77777777" w:rsidR="00A20D4B" w:rsidRPr="00E82956" w:rsidRDefault="00A20D4B" w:rsidP="00A20D4B">
      <w:pPr>
        <w:pStyle w:val="PlainText"/>
        <w:jc w:val="both"/>
        <w:rPr>
          <w:rFonts w:asciiTheme="minorHAnsi" w:hAnsiTheme="minorHAnsi"/>
          <w:bCs/>
          <w:sz w:val="22"/>
          <w:szCs w:val="22"/>
        </w:rPr>
      </w:pPr>
      <w:r w:rsidRPr="00E82956">
        <w:rPr>
          <w:rFonts w:asciiTheme="minorHAnsi" w:hAnsiTheme="minorHAnsi"/>
          <w:bCs/>
          <w:sz w:val="22"/>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5788BE9B" w14:textId="77777777" w:rsidR="00A20D4B" w:rsidRPr="00E82956" w:rsidRDefault="00A20D4B" w:rsidP="00A20D4B">
      <w:pPr>
        <w:pStyle w:val="PlainText"/>
        <w:jc w:val="both"/>
        <w:rPr>
          <w:rFonts w:asciiTheme="minorHAnsi" w:hAnsiTheme="minorHAnsi"/>
          <w:bCs/>
          <w:sz w:val="22"/>
          <w:szCs w:val="22"/>
        </w:rPr>
      </w:pPr>
      <w:r w:rsidRPr="00E82956">
        <w:rPr>
          <w:rFonts w:asciiTheme="minorHAnsi" w:hAnsiTheme="minorHAnsi"/>
          <w:bCs/>
          <w:sz w:val="22"/>
          <w:szCs w:val="22"/>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34052204" w14:textId="77777777" w:rsidR="00A20D4B" w:rsidRPr="00E82956" w:rsidRDefault="00A20D4B" w:rsidP="00A20D4B">
      <w:pPr>
        <w:pStyle w:val="PlainText"/>
        <w:spacing w:after="0"/>
        <w:jc w:val="both"/>
        <w:rPr>
          <w:rFonts w:asciiTheme="minorHAnsi" w:hAnsiTheme="minorHAnsi"/>
          <w:bCs/>
          <w:sz w:val="22"/>
          <w:szCs w:val="22"/>
        </w:rPr>
      </w:pPr>
      <w:r w:rsidRPr="00E82956">
        <w:rPr>
          <w:rFonts w:asciiTheme="minorHAnsi" w:hAnsiTheme="minorHAnsi"/>
          <w:bCs/>
          <w:sz w:val="22"/>
          <w:szCs w:val="22"/>
        </w:rPr>
        <w:t xml:space="preserve">To file a program complaint of discrimination, complete the USDA Program Discrimination Complaint Form, (AD-3027) found online at: </w:t>
      </w:r>
      <w:hyperlink r:id="rId8" w:history="1">
        <w:r w:rsidRPr="00E82956">
          <w:rPr>
            <w:rStyle w:val="Hyperlink"/>
            <w:rFonts w:asciiTheme="minorHAnsi" w:hAnsiTheme="minorHAnsi"/>
            <w:bCs/>
            <w:sz w:val="22"/>
            <w:szCs w:val="22"/>
          </w:rPr>
          <w:t>http://www.ascr.usda.gov/complaint_filing_cust.html</w:t>
        </w:r>
      </w:hyperlink>
      <w:r w:rsidRPr="00E82956">
        <w:rPr>
          <w:rFonts w:asciiTheme="minorHAnsi" w:hAnsiTheme="minorHAnsi"/>
          <w:bCs/>
          <w:sz w:val="22"/>
          <w:szCs w:val="22"/>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43F6C7E6" w14:textId="77777777" w:rsidR="00A20D4B" w:rsidRPr="00E82956" w:rsidRDefault="00A20D4B" w:rsidP="00A20D4B">
      <w:pPr>
        <w:pStyle w:val="PlainText"/>
        <w:spacing w:after="0"/>
        <w:jc w:val="both"/>
        <w:rPr>
          <w:rFonts w:asciiTheme="minorHAnsi" w:hAnsiTheme="minorHAnsi"/>
          <w:bCs/>
          <w:sz w:val="22"/>
          <w:szCs w:val="22"/>
        </w:rPr>
      </w:pPr>
    </w:p>
    <w:p w14:paraId="6D5F913A" w14:textId="77777777" w:rsidR="00A20D4B" w:rsidRPr="00E82956" w:rsidRDefault="00A20D4B" w:rsidP="00A20D4B">
      <w:pPr>
        <w:pStyle w:val="PlainText"/>
        <w:spacing w:after="0"/>
        <w:jc w:val="both"/>
        <w:rPr>
          <w:rFonts w:asciiTheme="minorHAnsi" w:hAnsiTheme="minorHAnsi"/>
          <w:bCs/>
          <w:sz w:val="22"/>
          <w:szCs w:val="22"/>
        </w:rPr>
      </w:pPr>
      <w:r w:rsidRPr="00E82956">
        <w:rPr>
          <w:rFonts w:asciiTheme="minorHAnsi" w:hAnsiTheme="minorHAnsi"/>
          <w:bCs/>
          <w:sz w:val="22"/>
          <w:szCs w:val="22"/>
        </w:rPr>
        <w:t xml:space="preserve">(1)          mail: U.S. Department of Agriculture </w:t>
      </w:r>
    </w:p>
    <w:p w14:paraId="065353A3" w14:textId="77777777" w:rsidR="00A20D4B" w:rsidRPr="00E82956" w:rsidRDefault="00A20D4B" w:rsidP="00A20D4B">
      <w:pPr>
        <w:pStyle w:val="PlainText"/>
        <w:spacing w:after="0"/>
        <w:jc w:val="both"/>
        <w:rPr>
          <w:rFonts w:asciiTheme="minorHAnsi" w:hAnsiTheme="minorHAnsi"/>
          <w:bCs/>
          <w:sz w:val="22"/>
          <w:szCs w:val="22"/>
        </w:rPr>
      </w:pPr>
      <w:r w:rsidRPr="00E82956">
        <w:rPr>
          <w:rFonts w:asciiTheme="minorHAnsi" w:hAnsiTheme="minorHAnsi"/>
          <w:bCs/>
          <w:sz w:val="22"/>
          <w:szCs w:val="22"/>
        </w:rPr>
        <w:t xml:space="preserve">               Office of the Assistant Secretary for Civil Rights </w:t>
      </w:r>
    </w:p>
    <w:p w14:paraId="45BC478A" w14:textId="77777777" w:rsidR="00A20D4B" w:rsidRPr="00E82956" w:rsidRDefault="00A20D4B" w:rsidP="00A20D4B">
      <w:pPr>
        <w:pStyle w:val="PlainText"/>
        <w:spacing w:after="0"/>
        <w:jc w:val="both"/>
        <w:rPr>
          <w:rFonts w:asciiTheme="minorHAnsi" w:hAnsiTheme="minorHAnsi"/>
          <w:bCs/>
          <w:sz w:val="22"/>
          <w:szCs w:val="22"/>
        </w:rPr>
      </w:pPr>
      <w:r w:rsidRPr="00E82956">
        <w:rPr>
          <w:rFonts w:asciiTheme="minorHAnsi" w:hAnsiTheme="minorHAnsi"/>
          <w:bCs/>
          <w:sz w:val="22"/>
          <w:szCs w:val="22"/>
        </w:rPr>
        <w:t xml:space="preserve">               1400 Independence Avenue, SW </w:t>
      </w:r>
    </w:p>
    <w:p w14:paraId="6311633B" w14:textId="77777777" w:rsidR="00A20D4B" w:rsidRPr="00E82956" w:rsidRDefault="00A20D4B" w:rsidP="00A20D4B">
      <w:pPr>
        <w:pStyle w:val="PlainText"/>
        <w:spacing w:after="0"/>
        <w:jc w:val="both"/>
        <w:rPr>
          <w:rFonts w:asciiTheme="minorHAnsi" w:hAnsiTheme="minorHAnsi"/>
          <w:bCs/>
          <w:sz w:val="22"/>
          <w:szCs w:val="22"/>
        </w:rPr>
      </w:pPr>
      <w:r w:rsidRPr="00E82956">
        <w:rPr>
          <w:rFonts w:asciiTheme="minorHAnsi" w:hAnsiTheme="minorHAnsi"/>
          <w:bCs/>
          <w:sz w:val="22"/>
          <w:szCs w:val="22"/>
        </w:rPr>
        <w:t xml:space="preserve">               Washington, D.C. 20250-9410; </w:t>
      </w:r>
    </w:p>
    <w:p w14:paraId="2D18B011" w14:textId="77777777" w:rsidR="00A20D4B" w:rsidRPr="00E82956" w:rsidRDefault="00A20D4B" w:rsidP="00A20D4B">
      <w:pPr>
        <w:pStyle w:val="PlainText"/>
        <w:spacing w:after="0"/>
        <w:jc w:val="both"/>
        <w:rPr>
          <w:rFonts w:asciiTheme="minorHAnsi" w:hAnsiTheme="minorHAnsi"/>
          <w:bCs/>
          <w:sz w:val="22"/>
          <w:szCs w:val="22"/>
        </w:rPr>
      </w:pPr>
      <w:r w:rsidRPr="00E82956">
        <w:rPr>
          <w:rFonts w:asciiTheme="minorHAnsi" w:hAnsiTheme="minorHAnsi"/>
          <w:bCs/>
          <w:sz w:val="22"/>
          <w:szCs w:val="22"/>
        </w:rPr>
        <w:t xml:space="preserve">(2)           fax: (202) 690-7442; or </w:t>
      </w:r>
    </w:p>
    <w:p w14:paraId="272749A7" w14:textId="77777777" w:rsidR="00A20D4B" w:rsidRPr="00E82956" w:rsidRDefault="00A20D4B" w:rsidP="00A20D4B">
      <w:pPr>
        <w:pStyle w:val="PlainText"/>
        <w:spacing w:after="0"/>
        <w:jc w:val="both"/>
        <w:rPr>
          <w:rFonts w:asciiTheme="minorHAnsi" w:hAnsiTheme="minorHAnsi"/>
          <w:bCs/>
          <w:sz w:val="22"/>
          <w:szCs w:val="22"/>
        </w:rPr>
      </w:pPr>
      <w:r w:rsidRPr="00E82956">
        <w:rPr>
          <w:rFonts w:asciiTheme="minorHAnsi" w:hAnsiTheme="minorHAnsi"/>
          <w:bCs/>
          <w:sz w:val="22"/>
          <w:szCs w:val="22"/>
        </w:rPr>
        <w:t xml:space="preserve">(3)           email: </w:t>
      </w:r>
      <w:hyperlink r:id="rId9" w:history="1">
        <w:r w:rsidRPr="00E82956">
          <w:rPr>
            <w:rStyle w:val="Hyperlink"/>
            <w:rFonts w:asciiTheme="minorHAnsi" w:hAnsiTheme="minorHAnsi"/>
            <w:bCs/>
            <w:sz w:val="22"/>
            <w:szCs w:val="22"/>
          </w:rPr>
          <w:t>program.intake@usda.gov</w:t>
        </w:r>
      </w:hyperlink>
      <w:r w:rsidRPr="00E82956">
        <w:rPr>
          <w:rFonts w:asciiTheme="minorHAnsi" w:hAnsiTheme="minorHAnsi"/>
          <w:bCs/>
          <w:sz w:val="22"/>
          <w:szCs w:val="22"/>
        </w:rPr>
        <w:t>.</w:t>
      </w:r>
    </w:p>
    <w:p w14:paraId="29415E77" w14:textId="77777777" w:rsidR="00A20D4B" w:rsidRPr="00E82956" w:rsidRDefault="00A20D4B" w:rsidP="00A20D4B">
      <w:pPr>
        <w:pStyle w:val="PlainText"/>
        <w:spacing w:after="0"/>
        <w:jc w:val="both"/>
        <w:rPr>
          <w:rFonts w:asciiTheme="minorHAnsi" w:hAnsiTheme="minorHAnsi"/>
          <w:bCs/>
          <w:sz w:val="22"/>
          <w:szCs w:val="22"/>
        </w:rPr>
      </w:pPr>
    </w:p>
    <w:p w14:paraId="4BD1CA0E" w14:textId="77777777" w:rsidR="00A20D4B" w:rsidRPr="00E82956" w:rsidRDefault="00A20D4B" w:rsidP="00A20D4B">
      <w:pPr>
        <w:pStyle w:val="PlainText"/>
        <w:spacing w:after="0"/>
        <w:jc w:val="both"/>
        <w:rPr>
          <w:rFonts w:asciiTheme="minorHAnsi" w:hAnsiTheme="minorHAnsi"/>
          <w:sz w:val="22"/>
          <w:szCs w:val="22"/>
        </w:rPr>
      </w:pPr>
      <w:r w:rsidRPr="00E82956">
        <w:rPr>
          <w:rFonts w:asciiTheme="minorHAnsi" w:hAnsiTheme="minorHAnsi"/>
          <w:bCs/>
          <w:sz w:val="22"/>
          <w:szCs w:val="22"/>
        </w:rPr>
        <w:t>This institution is an equal opportunity provider.</w:t>
      </w:r>
    </w:p>
    <w:p w14:paraId="4A415839" w14:textId="77777777" w:rsidR="00A20D4B" w:rsidRPr="003D22BC" w:rsidRDefault="00A20D4B" w:rsidP="00A20D4B">
      <w:pPr>
        <w:pStyle w:val="Default"/>
        <w:jc w:val="both"/>
        <w:rPr>
          <w:rFonts w:eastAsia="Times New Roman"/>
          <w:sz w:val="22"/>
          <w:szCs w:val="22"/>
        </w:rPr>
      </w:pPr>
    </w:p>
    <w:p w14:paraId="47E25414" w14:textId="77777777" w:rsidR="00A20D4B" w:rsidRDefault="00A20D4B" w:rsidP="00FE3D08">
      <w:pPr>
        <w:spacing w:after="0" w:line="240" w:lineRule="auto"/>
        <w:rPr>
          <w:sz w:val="24"/>
          <w:szCs w:val="24"/>
        </w:rPr>
      </w:pPr>
    </w:p>
    <w:p w14:paraId="50C06725" w14:textId="77777777" w:rsidR="00A20D4B" w:rsidRPr="00FE3D08" w:rsidRDefault="00A20D4B" w:rsidP="00FE3D08">
      <w:pPr>
        <w:spacing w:after="0" w:line="240" w:lineRule="auto"/>
        <w:rPr>
          <w:sz w:val="24"/>
          <w:szCs w:val="24"/>
        </w:rPr>
      </w:pPr>
    </w:p>
    <w:sectPr w:rsidR="00A20D4B" w:rsidRPr="00FE3D08" w:rsidSect="00EA25A0">
      <w:footerReference w:type="default" r:id="rId10"/>
      <w:footerReference w:type="first" r:id="rId11"/>
      <w:pgSz w:w="12240" w:h="15840"/>
      <w:pgMar w:top="1440" w:right="1440" w:bottom="1440" w:left="1440" w:header="720" w:footer="720" w:gutter="0"/>
      <w:pgNumType w:start="2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AE7B5" w14:textId="77777777" w:rsidR="00D716E7" w:rsidRDefault="00D716E7" w:rsidP="00D716E7">
      <w:pPr>
        <w:spacing w:after="0" w:line="240" w:lineRule="auto"/>
      </w:pPr>
      <w:r>
        <w:separator/>
      </w:r>
    </w:p>
  </w:endnote>
  <w:endnote w:type="continuationSeparator" w:id="0">
    <w:p w14:paraId="68AA3A23" w14:textId="77777777" w:rsidR="00D716E7" w:rsidRDefault="00D716E7" w:rsidP="00D7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ans serif">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CDFF8" w14:textId="77777777" w:rsidR="00D716E7" w:rsidRDefault="00D716E7" w:rsidP="0051609A">
    <w:pPr>
      <w:pStyle w:val="Footer"/>
      <w:jc w:val="center"/>
    </w:pPr>
  </w:p>
  <w:p w14:paraId="45C9134C" w14:textId="77777777" w:rsidR="00D716E7" w:rsidRDefault="00D716E7" w:rsidP="00D716E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CB17C" w14:textId="77777777" w:rsidR="00EA25A0" w:rsidRDefault="00EA25A0" w:rsidP="0051609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1D528" w14:textId="77777777" w:rsidR="00D716E7" w:rsidRDefault="00D716E7" w:rsidP="00D716E7">
      <w:pPr>
        <w:spacing w:after="0" w:line="240" w:lineRule="auto"/>
      </w:pPr>
      <w:r>
        <w:separator/>
      </w:r>
    </w:p>
  </w:footnote>
  <w:footnote w:type="continuationSeparator" w:id="0">
    <w:p w14:paraId="6DDF204C" w14:textId="77777777" w:rsidR="00D716E7" w:rsidRDefault="00D716E7" w:rsidP="00D71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44E25"/>
    <w:multiLevelType w:val="hybridMultilevel"/>
    <w:tmpl w:val="50566E4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000793"/>
    <w:multiLevelType w:val="hybridMultilevel"/>
    <w:tmpl w:val="D0224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37B0B"/>
    <w:multiLevelType w:val="hybridMultilevel"/>
    <w:tmpl w:val="7DCEB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8249C9"/>
    <w:multiLevelType w:val="hybridMultilevel"/>
    <w:tmpl w:val="259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9D2FA5"/>
    <w:multiLevelType w:val="hybridMultilevel"/>
    <w:tmpl w:val="1C1CD9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DB"/>
    <w:rsid w:val="00105D37"/>
    <w:rsid w:val="001B266A"/>
    <w:rsid w:val="001C4CDF"/>
    <w:rsid w:val="0025030B"/>
    <w:rsid w:val="0028125E"/>
    <w:rsid w:val="002835CE"/>
    <w:rsid w:val="00361D73"/>
    <w:rsid w:val="003658C9"/>
    <w:rsid w:val="0039226A"/>
    <w:rsid w:val="0051609A"/>
    <w:rsid w:val="008B235E"/>
    <w:rsid w:val="008D1213"/>
    <w:rsid w:val="008F4ADB"/>
    <w:rsid w:val="009406B7"/>
    <w:rsid w:val="0098387D"/>
    <w:rsid w:val="00A20D4B"/>
    <w:rsid w:val="00B77ECD"/>
    <w:rsid w:val="00BA19A7"/>
    <w:rsid w:val="00CA034C"/>
    <w:rsid w:val="00D64CBA"/>
    <w:rsid w:val="00D716E7"/>
    <w:rsid w:val="00E35A5C"/>
    <w:rsid w:val="00E753B7"/>
    <w:rsid w:val="00E82B51"/>
    <w:rsid w:val="00EA25A0"/>
    <w:rsid w:val="00F03766"/>
    <w:rsid w:val="00FE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E828F7"/>
  <w15:docId w15:val="{9B88BFB4-9EF4-4C4E-B933-85CECB99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A5C"/>
    <w:pPr>
      <w:ind w:left="720"/>
      <w:contextualSpacing/>
    </w:pPr>
  </w:style>
  <w:style w:type="paragraph" w:styleId="Header">
    <w:name w:val="header"/>
    <w:basedOn w:val="Normal"/>
    <w:link w:val="HeaderChar"/>
    <w:uiPriority w:val="99"/>
    <w:semiHidden/>
    <w:unhideWhenUsed/>
    <w:rsid w:val="00D716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16E7"/>
  </w:style>
  <w:style w:type="paragraph" w:styleId="Footer">
    <w:name w:val="footer"/>
    <w:basedOn w:val="Normal"/>
    <w:link w:val="FooterChar"/>
    <w:uiPriority w:val="99"/>
    <w:unhideWhenUsed/>
    <w:rsid w:val="00D71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6E7"/>
  </w:style>
  <w:style w:type="paragraph" w:styleId="BalloonText">
    <w:name w:val="Balloon Text"/>
    <w:basedOn w:val="Normal"/>
    <w:link w:val="BalloonTextChar"/>
    <w:uiPriority w:val="99"/>
    <w:semiHidden/>
    <w:unhideWhenUsed/>
    <w:rsid w:val="00516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09A"/>
    <w:rPr>
      <w:rFonts w:ascii="Segoe UI" w:hAnsi="Segoe UI" w:cs="Segoe UI"/>
      <w:sz w:val="18"/>
      <w:szCs w:val="18"/>
    </w:rPr>
  </w:style>
  <w:style w:type="character" w:styleId="Hyperlink">
    <w:name w:val="Hyperlink"/>
    <w:basedOn w:val="DefaultParagraphFont"/>
    <w:uiPriority w:val="99"/>
    <w:semiHidden/>
    <w:unhideWhenUsed/>
    <w:rsid w:val="00A20D4B"/>
    <w:rPr>
      <w:rFonts w:ascii="ms sans serif" w:hAnsi="ms sans serif" w:hint="default"/>
      <w:strike w:val="0"/>
      <w:dstrike w:val="0"/>
      <w:color w:val="0000FF"/>
      <w:u w:val="none"/>
      <w:effect w:val="none"/>
    </w:rPr>
  </w:style>
  <w:style w:type="paragraph" w:customStyle="1" w:styleId="Default">
    <w:name w:val="Default"/>
    <w:rsid w:val="00A20D4B"/>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A20D4B"/>
    <w:pPr>
      <w:spacing w:line="252" w:lineRule="auto"/>
    </w:pPr>
    <w:rPr>
      <w:rFonts w:ascii="Consolas" w:eastAsia="Calibri" w:hAnsi="Consolas" w:cs="Times New Roman"/>
      <w:sz w:val="21"/>
      <w:szCs w:val="21"/>
      <w:lang w:bidi="en-US"/>
    </w:rPr>
  </w:style>
  <w:style w:type="character" w:customStyle="1" w:styleId="PlainTextChar">
    <w:name w:val="Plain Text Char"/>
    <w:basedOn w:val="DefaultParagraphFont"/>
    <w:link w:val="PlainText"/>
    <w:uiPriority w:val="99"/>
    <w:rsid w:val="00A20D4B"/>
    <w:rPr>
      <w:rFonts w:ascii="Consolas" w:eastAsia="Calibri" w:hAnsi="Consolas" w:cs="Times New Roman"/>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B1831-8410-4AC2-A099-645FDFE5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Calcasieu Parish School Board</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jacquelineb.richard</dc:creator>
  <cp:lastModifiedBy>Richard, Jacquelineb</cp:lastModifiedBy>
  <cp:revision>3</cp:revision>
  <cp:lastPrinted>2019-06-11T15:13:00Z</cp:lastPrinted>
  <dcterms:created xsi:type="dcterms:W3CDTF">2019-06-03T13:48:00Z</dcterms:created>
  <dcterms:modified xsi:type="dcterms:W3CDTF">2019-06-11T15:13:00Z</dcterms:modified>
</cp:coreProperties>
</file>