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13770"/>
        </w:tabs>
        <w:contextualSpacing w:val="0"/>
        <w:jc w:val="center"/>
        <w:rPr>
          <w:rFonts w:ascii="Times New Roman" w:cs="Times New Roman" w:eastAsia="Times New Roman" w:hAnsi="Times New Roman"/>
          <w:b w:val="0"/>
          <w:sz w:val="40"/>
          <w:szCs w:val="40"/>
          <w:vertAlign w:val="baseline"/>
        </w:rPr>
      </w:pPr>
      <w:r w:rsidDel="00000000" w:rsidR="00000000" w:rsidRPr="00000000">
        <w:rPr>
          <w:b w:val="1"/>
          <w:sz w:val="40"/>
          <w:szCs w:val="40"/>
          <w:vertAlign w:val="baseline"/>
          <w:rtl w:val="0"/>
        </w:rPr>
        <w:t xml:space="preserve">High School Syllabus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13770"/>
        </w:tabs>
        <w:contextualSpacing w:val="0"/>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13770"/>
        </w:tabs>
        <w:contextualSpacing w:val="0"/>
        <w:rPr>
          <w:rFonts w:ascii="Times New Roman" w:cs="Times New Roman" w:eastAsia="Times New Roman" w:hAnsi="Times New Roman"/>
          <w:b w:val="0"/>
          <w:sz w:val="36"/>
          <w:szCs w:val="36"/>
          <w:vertAlign w:val="baseline"/>
        </w:rPr>
      </w:pPr>
      <w:r w:rsidDel="00000000" w:rsidR="00000000" w:rsidRPr="00000000">
        <w:rPr>
          <w:b w:val="1"/>
          <w:sz w:val="40"/>
          <w:szCs w:val="40"/>
          <w:vertAlign w:val="baseline"/>
          <w:rtl w:val="0"/>
        </w:rPr>
        <w:t xml:space="preserve">Department:  World Language</w:t>
      </w:r>
      <w:r w:rsidDel="00000000" w:rsidR="00000000" w:rsidRPr="00000000">
        <w:rPr>
          <w:rFonts w:ascii="Federo" w:cs="Federo" w:eastAsia="Federo" w:hAnsi="Federo"/>
          <w:b w:val="1"/>
          <w:sz w:val="40"/>
          <w:szCs w:val="40"/>
          <w:vertAlign w:val="baseline"/>
          <w:rtl w:val="0"/>
        </w:rPr>
        <w:tab/>
      </w:r>
      <w:r w:rsidDel="00000000" w:rsidR="00000000" w:rsidRPr="00000000">
        <w:rPr>
          <w:b w:val="1"/>
          <w:sz w:val="40"/>
          <w:szCs w:val="40"/>
          <w:vertAlign w:val="baseline"/>
          <w:rtl w:val="0"/>
        </w:rPr>
        <w:t xml:space="preserve">Course #:</w:t>
      </w:r>
      <w:r w:rsidDel="00000000" w:rsidR="00000000" w:rsidRPr="00000000">
        <w:rPr>
          <w:sz w:val="40"/>
          <w:szCs w:val="40"/>
          <w:vertAlign w:val="baseline"/>
          <w:rtl w:val="0"/>
        </w:rPr>
        <w:t xml:space="preserve"> 3010</w:t>
      </w:r>
      <w:r w:rsidDel="00000000" w:rsidR="00000000" w:rsidRPr="00000000">
        <w:rPr>
          <w:sz w:val="40"/>
          <w:szCs w:val="40"/>
          <w:rtl w:val="0"/>
        </w:rPr>
        <w:t xml:space="preserve">3</w:t>
      </w:r>
      <w:r w:rsidDel="00000000" w:rsidR="00000000" w:rsidRPr="00000000">
        <w:rPr>
          <w:sz w:val="40"/>
          <w:szCs w:val="40"/>
          <w:vertAlign w:val="baseline"/>
          <w:rtl w:val="0"/>
        </w:rPr>
        <w:t xml:space="preserve">E</w:t>
      </w:r>
      <w:r w:rsidDel="00000000" w:rsidR="00000000" w:rsidRPr="00000000">
        <w:rPr>
          <w:sz w:val="36"/>
          <w:szCs w:val="36"/>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13770"/>
        </w:tabs>
        <w:contextualSpacing w:val="0"/>
        <w:rPr>
          <w:rFonts w:ascii="Times New Roman" w:cs="Times New Roman" w:eastAsia="Times New Roman" w:hAnsi="Times New Roman"/>
          <w:b w:val="0"/>
          <w:sz w:val="40"/>
          <w:szCs w:val="40"/>
          <w:u w:val="single"/>
          <w:vertAlign w:val="baseline"/>
        </w:rPr>
      </w:pPr>
      <w:r w:rsidDel="00000000" w:rsidR="00000000" w:rsidRPr="00000000">
        <w:rPr>
          <w:b w:val="1"/>
          <w:sz w:val="40"/>
          <w:szCs w:val="40"/>
          <w:vertAlign w:val="baseline"/>
          <w:rtl w:val="0"/>
        </w:rPr>
        <w:t xml:space="preserve">Course Title</w:t>
      </w:r>
      <w:r w:rsidDel="00000000" w:rsidR="00000000" w:rsidRPr="00000000">
        <w:rPr>
          <w:sz w:val="40"/>
          <w:szCs w:val="40"/>
          <w:vertAlign w:val="baseline"/>
          <w:rtl w:val="0"/>
        </w:rPr>
        <w:t xml:space="preserve">:  German </w:t>
      </w:r>
      <w:r w:rsidDel="00000000" w:rsidR="00000000" w:rsidRPr="00000000">
        <w:rPr>
          <w:sz w:val="40"/>
          <w:szCs w:val="40"/>
          <w:rtl w:val="0"/>
        </w:rPr>
        <w:t xml:space="preserve">3</w:t>
      </w:r>
      <w:r w:rsidDel="00000000" w:rsidR="00000000" w:rsidRPr="00000000">
        <w:rPr>
          <w:sz w:val="36"/>
          <w:szCs w:val="36"/>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6480" w:firstLine="0"/>
        <w:contextualSpacing w:val="0"/>
        <w:rPr>
          <w:rFonts w:ascii="Federo" w:cs="Federo" w:eastAsia="Federo" w:hAnsi="Federo"/>
          <w:b w:val="1"/>
          <w:sz w:val="40"/>
          <w:szCs w:val="4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6480" w:firstLine="0"/>
        <w:contextualSpacing w:val="0"/>
        <w:rPr>
          <w:rFonts w:ascii="Times New Roman" w:cs="Times New Roman" w:eastAsia="Times New Roman" w:hAnsi="Times New Roman"/>
          <w:b w:val="0"/>
          <w:sz w:val="36"/>
          <w:szCs w:val="36"/>
          <w:vertAlign w:val="baseline"/>
        </w:rPr>
      </w:pPr>
      <w:r w:rsidDel="00000000" w:rsidR="00000000" w:rsidRPr="00000000">
        <w:rPr>
          <w:rFonts w:ascii="Federo" w:cs="Federo" w:eastAsia="Federo" w:hAnsi="Federo"/>
          <w:b w:val="1"/>
          <w:sz w:val="40"/>
          <w:szCs w:val="40"/>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DESCRIPTION OF COURSE: </w:t>
      </w:r>
      <w:r w:rsidDel="00000000" w:rsidR="00000000" w:rsidRPr="00000000">
        <w:rPr>
          <w:sz w:val="24"/>
          <w:szCs w:val="24"/>
          <w:rtl w:val="0"/>
        </w:rPr>
        <w:t xml:space="preserve">Planning for the future?  Let learning German open the door to opportunities around the globe!  Students will begin by intensely reviewing German 1 and 2 material before quickly moving on to learn about complex grammar concepts and additional topics of study, including traveling, city and country living, ordering food and dining out, German shopping habits and customs, hobbies and interests, culturally significant holidays and events, health, driving, and even social media! Proficiency in all key language skills (reading, writing, listening, and speaking) will be emphasized.</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b w:val="1"/>
          <w:color w:val="ff0000"/>
          <w:sz w:val="24"/>
          <w:szCs w:val="24"/>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sz w:val="24"/>
          <w:szCs w:val="24"/>
          <w:vertAlign w:val="baseline"/>
          <w:rtl w:val="0"/>
        </w:rPr>
        <w:tab/>
      </w:r>
      <w:r w:rsidDel="00000000" w:rsidR="00000000" w:rsidRPr="00000000">
        <w:rPr>
          <w:rtl w:val="0"/>
        </w:rPr>
      </w:r>
    </w:p>
    <w:tbl>
      <w:tblPr>
        <w:tblStyle w:val="Table1"/>
        <w:tblW w:w="140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gridCol w:w="4680"/>
        <w:tblGridChange w:id="0">
          <w:tblGrid>
            <w:gridCol w:w="4680"/>
            <w:gridCol w:w="4680"/>
            <w:gridCol w:w="4680"/>
          </w:tblGrid>
        </w:tblGridChange>
      </w:tblGrid>
      <w:tr>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8"/>
                <w:szCs w:val="28"/>
                <w:vertAlign w:val="baseline"/>
              </w:rPr>
            </w:pPr>
            <w:r w:rsidDel="00000000" w:rsidR="00000000" w:rsidRPr="00000000">
              <w:rPr>
                <w:b w:val="1"/>
                <w:sz w:val="18"/>
                <w:szCs w:val="18"/>
                <w:vertAlign w:val="baseline"/>
                <w:rtl w:val="0"/>
              </w:rPr>
              <w:t xml:space="preserve">REQUIRED TOPICS OF STUDY</w:t>
            </w:r>
            <w:r w:rsidDel="00000000" w:rsidR="00000000" w:rsidRPr="00000000">
              <w:rPr>
                <w:rtl w:val="0"/>
              </w:rPr>
            </w:r>
          </w:p>
        </w:tc>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8"/>
                <w:szCs w:val="28"/>
                <w:vertAlign w:val="baseline"/>
              </w:rPr>
            </w:pPr>
            <w:r w:rsidDel="00000000" w:rsidR="00000000" w:rsidRPr="00000000">
              <w:rPr>
                <w:b w:val="1"/>
                <w:sz w:val="18"/>
                <w:szCs w:val="18"/>
                <w:vertAlign w:val="baseline"/>
                <w:rtl w:val="0"/>
              </w:rPr>
              <w:t xml:space="preserve">SUGGESTED IN</w:t>
            </w:r>
            <w:r w:rsidDel="00000000" w:rsidR="00000000" w:rsidRPr="00000000">
              <w:rPr>
                <w:b w:val="1"/>
                <w:sz w:val="18"/>
                <w:szCs w:val="18"/>
                <w:rtl w:val="0"/>
              </w:rPr>
              <w:t xml:space="preserve">S</w:t>
            </w:r>
            <w:r w:rsidDel="00000000" w:rsidR="00000000" w:rsidRPr="00000000">
              <w:rPr>
                <w:b w:val="1"/>
                <w:sz w:val="18"/>
                <w:szCs w:val="18"/>
                <w:vertAlign w:val="baseline"/>
                <w:rtl w:val="0"/>
              </w:rPr>
              <w:t xml:space="preserve">TRUCTIONAL TIME</w:t>
            </w:r>
            <w:r w:rsidDel="00000000" w:rsidR="00000000" w:rsidRPr="00000000">
              <w:rPr>
                <w:rtl w:val="0"/>
              </w:rPr>
            </w:r>
          </w:p>
        </w:tc>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8"/>
                <w:szCs w:val="28"/>
                <w:vertAlign w:val="baseline"/>
              </w:rPr>
            </w:pPr>
            <w:r w:rsidDel="00000000" w:rsidR="00000000" w:rsidRPr="00000000">
              <w:rPr>
                <w:b w:val="1"/>
                <w:sz w:val="18"/>
                <w:szCs w:val="18"/>
                <w:vertAlign w:val="baseline"/>
                <w:rtl w:val="0"/>
              </w:rPr>
              <w:t xml:space="preserve">STANDARDS/ ELIGIBLE CONTENT</w:t>
            </w:r>
            <w:r w:rsidDel="00000000" w:rsidR="00000000" w:rsidRPr="00000000">
              <w:rPr>
                <w:rtl w:val="0"/>
              </w:rPr>
            </w:r>
          </w:p>
        </w:tc>
      </w:tr>
      <w:tr>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Review of German 1 and 2</w:t>
            </w:r>
            <w:r w:rsidDel="00000000" w:rsidR="00000000" w:rsidRPr="00000000">
              <w:rPr>
                <w:rtl w:val="0"/>
              </w:rPr>
            </w:r>
          </w:p>
        </w:tc>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center"/>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2 weeks</w:t>
            </w:r>
            <w:r w:rsidDel="00000000" w:rsidR="00000000" w:rsidRPr="00000000">
              <w:rPr>
                <w:rtl w:val="0"/>
              </w:rPr>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Unit 1 / Chapter 1, 2, and 3:  Wohin geht’s?, Im Sommer, and Ferien</w:t>
            </w:r>
            <w:r w:rsidDel="00000000" w:rsidR="00000000" w:rsidRPr="00000000">
              <w:rPr>
                <w:rtl w:val="0"/>
              </w:rPr>
            </w:r>
          </w:p>
        </w:tc>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center"/>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8-10 weeks</w:t>
            </w:r>
            <w:r w:rsidDel="00000000" w:rsidR="00000000" w:rsidRPr="00000000">
              <w:rPr>
                <w:rtl w:val="0"/>
              </w:rPr>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Unit 2 / Chapter 4: Bei Uns</w:t>
            </w:r>
            <w:r w:rsidDel="00000000" w:rsidR="00000000" w:rsidRPr="00000000">
              <w:rPr>
                <w:rtl w:val="0"/>
              </w:rPr>
            </w:r>
          </w:p>
        </w:tc>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jc w:val="center"/>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3-4</w:t>
            </w:r>
            <w:r w:rsidDel="00000000" w:rsidR="00000000" w:rsidRPr="00000000">
              <w:rPr>
                <w:sz w:val="24"/>
                <w:szCs w:val="24"/>
                <w:vertAlign w:val="baseline"/>
                <w:rtl w:val="0"/>
              </w:rPr>
              <w:t xml:space="preserve"> weeks</w:t>
            </w:r>
            <w:r w:rsidDel="00000000" w:rsidR="00000000" w:rsidRPr="00000000">
              <w:rPr>
                <w:rtl w:val="0"/>
              </w:rPr>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Unit 3 / Chapter 5: Guten Appetit!</w:t>
            </w:r>
            <w:r w:rsidDel="00000000" w:rsidR="00000000" w:rsidRPr="00000000">
              <w:rPr>
                <w:rtl w:val="0"/>
              </w:rPr>
            </w:r>
          </w:p>
        </w:tc>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jc w:val="cente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4-5 weeks</w:t>
            </w:r>
            <w:r w:rsidDel="00000000" w:rsidR="00000000" w:rsidRPr="00000000">
              <w:rPr>
                <w:rtl w:val="0"/>
              </w:rPr>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Unit 4 / Chapter 6: Einkaufen</w:t>
            </w:r>
            <w:r w:rsidDel="00000000" w:rsidR="00000000" w:rsidRPr="00000000">
              <w:rPr>
                <w:rtl w:val="0"/>
              </w:rPr>
            </w:r>
          </w:p>
        </w:tc>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jc w:val="cente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4-5 weeks</w:t>
            </w:r>
            <w:r w:rsidDel="00000000" w:rsidR="00000000" w:rsidRPr="00000000">
              <w:rPr>
                <w:rtl w:val="0"/>
              </w:rPr>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Unit 5 / Chapters 7 and 8:  Hobbys und Interessen and Feste und Feiertage</w:t>
            </w:r>
            <w:r w:rsidDel="00000000" w:rsidR="00000000" w:rsidRPr="00000000">
              <w:rPr>
                <w:rtl w:val="0"/>
              </w:rPr>
            </w:r>
          </w:p>
        </w:tc>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jc w:val="cente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5-6 weeks</w:t>
            </w:r>
            <w:r w:rsidDel="00000000" w:rsidR="00000000" w:rsidRPr="00000000">
              <w:rPr>
                <w:rtl w:val="0"/>
              </w:rPr>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Unit 6 / Chapters 9, 10, and 11:  Kommunikation, Gesundheit, and Fahren</w:t>
            </w:r>
            <w:r w:rsidDel="00000000" w:rsidR="00000000" w:rsidRPr="00000000">
              <w:rPr>
                <w:rtl w:val="0"/>
              </w:rPr>
            </w:r>
          </w:p>
        </w:tc>
        <w:tc>
          <w:tcP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0" w:firstLine="0"/>
              <w:contextualSpacing w:val="0"/>
              <w:jc w:val="center"/>
              <w:rPr>
                <w:rFonts w:ascii="Times New Roman" w:cs="Times New Roman" w:eastAsia="Times New Roman" w:hAnsi="Times New Roman"/>
                <w:b w:val="0"/>
                <w:sz w:val="24"/>
                <w:szCs w:val="24"/>
                <w:vertAlign w:val="baseline"/>
              </w:rPr>
            </w:pPr>
            <w:r w:rsidDel="00000000" w:rsidR="00000000" w:rsidRPr="00000000">
              <w:rPr>
                <w:sz w:val="24"/>
                <w:szCs w:val="24"/>
                <w:rtl w:val="0"/>
              </w:rPr>
              <w:t xml:space="preserve">6-8 weeks</w:t>
            </w:r>
            <w:r w:rsidDel="00000000" w:rsidR="00000000" w:rsidRPr="00000000">
              <w:rPr>
                <w:rtl w:val="0"/>
              </w:rPr>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i w:val="1"/>
          <w:color w:val="000000"/>
          <w:sz w:val="24"/>
          <w:szCs w:val="24"/>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RESOURCES:</w:t>
      </w:r>
      <w:r w:rsidDel="00000000" w:rsidR="00000000" w:rsidRPr="00000000">
        <w:rPr>
          <w:rFonts w:ascii="Times New Roman" w:cs="Times New Roman" w:eastAsia="Times New Roman" w:hAnsi="Times New Roman"/>
          <w:b w:val="0"/>
          <w:sz w:val="20"/>
          <w:szCs w:val="20"/>
          <w:u w:val="single"/>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Deutsch Aktuell </w:t>
      </w:r>
      <w:r w:rsidDel="00000000" w:rsidR="00000000" w:rsidRPr="00000000">
        <w:rPr>
          <w:rFonts w:ascii="Times New Roman" w:cs="Times New Roman" w:eastAsia="Times New Roman" w:hAnsi="Times New Roman"/>
          <w:b w:val="0"/>
          <w:sz w:val="24"/>
          <w:szCs w:val="24"/>
          <w:vertAlign w:val="baseline"/>
          <w:rtl w:val="0"/>
        </w:rPr>
        <w:t xml:space="preserve">level </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sz w:val="24"/>
          <w:szCs w:val="24"/>
          <w:vertAlign w:val="baseline"/>
          <w:rtl w:val="0"/>
        </w:rPr>
        <w:t xml:space="preserve"> textbook and workbook (EMC Publishing 2017), related communicative activities, selections from the audio program and additional listening activities, on-line textbook and other related technology resources, grammar and vocabulary exercises, verb conjugation charts, TPRS activities, cultural videos, flashcards, instructional games, selected readings, maps of Germany and German-speaking countries</w:t>
      </w:r>
      <w:r w:rsidDel="00000000" w:rsidR="00000000" w:rsidRPr="00000000">
        <w:rPr>
          <w:rFonts w:ascii="Times New Roman" w:cs="Times New Roman" w:eastAsia="Times New Roman" w:hAnsi="Times New Roman"/>
          <w:b w:val="0"/>
          <w:i w:val="1"/>
          <w:color w:val="00000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i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i w:val="1"/>
          <w:sz w:val="24"/>
          <w:szCs w:val="24"/>
        </w:rPr>
      </w:pPr>
      <w:r w:rsidDel="00000000" w:rsidR="00000000" w:rsidRPr="00000000">
        <w:rPr>
          <w:i w:val="1"/>
          <w:sz w:val="24"/>
          <w:szCs w:val="24"/>
          <w:rtl w:val="0"/>
        </w:rPr>
        <w:t xml:space="preserve">*The level 2 textbook is used in level 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ff0000"/>
          <w:sz w:val="16"/>
          <w:szCs w:val="16"/>
          <w:vertAlign w:val="baseline"/>
        </w:rPr>
      </w:pPr>
      <w:r w:rsidDel="00000000" w:rsidR="00000000" w:rsidRPr="00000000">
        <w:rPr>
          <w:b w:val="1"/>
          <w:sz w:val="24"/>
          <w:szCs w:val="24"/>
          <w:vertAlign w:val="baseline"/>
          <w:rtl w:val="0"/>
        </w:rPr>
        <w:t xml:space="preserve">Rev.:</w:t>
      </w:r>
      <w:r w:rsidDel="00000000" w:rsidR="00000000" w:rsidRPr="00000000">
        <w:rPr>
          <w:b w:val="1"/>
          <w:sz w:val="32"/>
          <w:szCs w:val="32"/>
          <w:vertAlign w:val="baseline"/>
          <w:rtl w:val="0"/>
        </w:rPr>
        <w:t xml:space="preserve"> </w:t>
      </w:r>
      <w:r w:rsidDel="00000000" w:rsidR="00000000" w:rsidRPr="00000000">
        <w:rPr>
          <w:b w:val="1"/>
          <w:color w:val="ff0000"/>
          <w:sz w:val="16"/>
          <w:szCs w:val="16"/>
          <w:vertAlign w:val="baseline"/>
          <w:rtl w:val="0"/>
        </w:rPr>
        <w:t xml:space="preserve">8/201</w:t>
      </w:r>
      <w:r w:rsidDel="00000000" w:rsidR="00000000" w:rsidRPr="00000000">
        <w:rPr>
          <w:b w:val="1"/>
          <w:color w:val="ff0000"/>
          <w:sz w:val="16"/>
          <w:szCs w:val="16"/>
          <w:rtl w:val="0"/>
        </w:rPr>
        <w:t xml:space="preserve">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ff0000"/>
          <w:sz w:val="16"/>
          <w:szCs w:val="16"/>
          <w:vertAlign w:val="baseline"/>
        </w:rPr>
      </w:pPr>
      <w:r w:rsidDel="00000000" w:rsidR="00000000" w:rsidRPr="00000000">
        <w:rPr>
          <w:rtl w:val="0"/>
        </w:rPr>
      </w:r>
    </w:p>
    <w:sectPr>
      <w:footerReference r:id="rId5" w:type="default"/>
      <w:pgSz w:h="12240" w:w="15840"/>
      <w:pgMar w:bottom="864" w:top="864" w:left="1008" w:right="100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Feder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Curr/Syllabus-HS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ff0000"/>
        <w:sz w:val="16"/>
        <w:szCs w:val="16"/>
        <w:vertAlign w:val="baseline"/>
      </w:rPr>
    </w:pPr>
    <w:r w:rsidDel="00000000" w:rsidR="00000000" w:rsidRPr="00000000">
      <w:rPr>
        <w:sz w:val="16"/>
        <w:szCs w:val="16"/>
        <w:vertAlign w:val="baseline"/>
        <w:rtl w:val="0"/>
      </w:rPr>
      <w:t xml:space="preserve">BAC-2/15</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288" w:before="0" w:line="240" w:lineRule="auto"/>
      <w:contextualSpacing w:val="0"/>
      <w:rPr>
        <w:rFonts w:ascii="Times New Roman" w:cs="Times New Roman" w:eastAsia="Times New Roman" w:hAnsi="Times New Roman"/>
        <w:b w:val="0"/>
        <w:sz w:val="28"/>
        <w:szCs w:val="28"/>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8"/>
        <w:szCs w:val="28"/>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edero-regular.ttf"/></Relationships>
</file>