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DB1FF55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Pre-AICE</w:t>
            </w:r>
            <w:r w:rsidR="00141C3B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925AD5">
              <w:rPr>
                <w:rFonts w:ascii="Arial" w:hAnsi="Arial" w:cs="Arial"/>
                <w:sz w:val="48"/>
                <w:szCs w:val="48"/>
              </w:rPr>
              <w:t>Chemistry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1A6F614A" w:rsidR="000276C0" w:rsidRPr="00757C5A" w:rsidRDefault="000276C0" w:rsidP="00925AD5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25AD5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72BE4770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10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7DB1F7C" w:rsidR="000276C0" w:rsidRPr="000F6ED9" w:rsidRDefault="000F6ED9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0F6ED9">
              <w:rPr>
                <w:rFonts w:ascii="Calibri" w:hAnsi="Calibri" w:cs="Calibri"/>
                <w:i/>
                <w:color w:val="000000"/>
              </w:rPr>
              <w:t>Matter Structure</w:t>
            </w:r>
          </w:p>
        </w:tc>
      </w:tr>
      <w:tr w:rsidR="00250530" w14:paraId="073B08AB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096443A0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DD95FC0" w14:textId="4BF4F7F4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the periodic table as a model to predict the relative properties of elements based on the patterns of electrons in the outermost energy level of atoms.</w:t>
            </w:r>
          </w:p>
        </w:tc>
      </w:tr>
      <w:tr w:rsidR="00250530" w14:paraId="4EAB7A77" w14:textId="77777777" w:rsidTr="004B12A2">
        <w:tc>
          <w:tcPr>
            <w:tcW w:w="1440" w:type="dxa"/>
            <w:shd w:val="clear" w:color="auto" w:fill="auto"/>
            <w:vAlign w:val="center"/>
          </w:tcPr>
          <w:p w14:paraId="7EC83945" w14:textId="5EB189C7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24A1243" w14:textId="1B7F219B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gather evidence to compare the structure of substances at the bulk scale to infer the strength of electrical forces between particles.</w:t>
            </w:r>
          </w:p>
        </w:tc>
      </w:tr>
      <w:tr w:rsidR="00250530" w14:paraId="7102C37D" w14:textId="77777777" w:rsidTr="004B12A2">
        <w:tc>
          <w:tcPr>
            <w:tcW w:w="1440" w:type="dxa"/>
            <w:shd w:val="clear" w:color="auto" w:fill="auto"/>
            <w:vAlign w:val="center"/>
          </w:tcPr>
          <w:p w14:paraId="3CE8E785" w14:textId="6F979307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HS-PS2-6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E06AC09" w14:textId="1C6ADD70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Communicate scientific and technical information about why the molecular-level structure is important to the functioning of designed materials.</w:t>
            </w:r>
          </w:p>
        </w:tc>
      </w:tr>
      <w:tr w:rsidR="00250530" w14:paraId="09B858E3" w14:textId="77777777" w:rsidTr="004B12A2">
        <w:tc>
          <w:tcPr>
            <w:tcW w:w="1440" w:type="dxa"/>
            <w:shd w:val="clear" w:color="auto" w:fill="auto"/>
            <w:vAlign w:val="center"/>
          </w:tcPr>
          <w:p w14:paraId="49377E0A" w14:textId="1387D9AE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0EB30B4" w14:textId="0C88089D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and use models to illustrate that energy at the macroscopic scale can be accounted for as either motions of particles or energy stored in fields.</w:t>
            </w:r>
          </w:p>
        </w:tc>
      </w:tr>
      <w:tr w:rsidR="00250530" w14:paraId="1904F5C2" w14:textId="77777777" w:rsidTr="004B12A2">
        <w:tc>
          <w:tcPr>
            <w:tcW w:w="1440" w:type="dxa"/>
            <w:shd w:val="clear" w:color="auto" w:fill="auto"/>
            <w:vAlign w:val="center"/>
          </w:tcPr>
          <w:p w14:paraId="62142E5A" w14:textId="65CEC835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HS-PS3-4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B431EE4" w14:textId="29D16D3A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the transfer of thermal energy when two components of different temperature are combined within a closed system results in a more uniform energy distribution among the components in the system (second law of thermodynamics).</w:t>
            </w:r>
          </w:p>
        </w:tc>
      </w:tr>
      <w:tr w:rsidR="00250530" w14:paraId="489068C1" w14:textId="77777777" w:rsidTr="004B12A2">
        <w:tc>
          <w:tcPr>
            <w:tcW w:w="1440" w:type="dxa"/>
            <w:shd w:val="clear" w:color="auto" w:fill="auto"/>
            <w:vAlign w:val="center"/>
          </w:tcPr>
          <w:p w14:paraId="2C66363C" w14:textId="1381DAD4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PAC-1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83B5DF5" w14:textId="13644901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Describe the formation of chemical bonds.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314F1B4" w:rsidR="0078281C" w:rsidRPr="00250530" w:rsidRDefault="00250530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250530">
              <w:rPr>
                <w:rFonts w:ascii="Calibri" w:hAnsi="Calibri" w:cs="Calibri"/>
                <w:i/>
                <w:color w:val="000000"/>
              </w:rPr>
              <w:t>Matter Interactions</w:t>
            </w:r>
          </w:p>
        </w:tc>
      </w:tr>
      <w:tr w:rsidR="00250530" w14:paraId="0BBA095B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6388975" w14:textId="092BC5E3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HS-PS1-2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01FE16B7" w14:textId="19138728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</w:tc>
      </w:tr>
      <w:tr w:rsidR="00250530" w14:paraId="1D9E2DFD" w14:textId="77777777" w:rsidTr="004B12A2">
        <w:tc>
          <w:tcPr>
            <w:tcW w:w="1440" w:type="dxa"/>
            <w:shd w:val="clear" w:color="auto" w:fill="auto"/>
            <w:vAlign w:val="center"/>
          </w:tcPr>
          <w:p w14:paraId="7B05953D" w14:textId="613FCB6F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03B4A4D" w14:textId="79BF5C4D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that the release or absorption of energy from a chemical reaction system depends upon the changes in total bond energy.</w:t>
            </w:r>
          </w:p>
        </w:tc>
      </w:tr>
      <w:tr w:rsidR="00250530" w14:paraId="4F5DD17D" w14:textId="77777777" w:rsidTr="004B12A2">
        <w:tc>
          <w:tcPr>
            <w:tcW w:w="1440" w:type="dxa"/>
            <w:shd w:val="clear" w:color="auto" w:fill="auto"/>
            <w:vAlign w:val="center"/>
          </w:tcPr>
          <w:p w14:paraId="6F94BF70" w14:textId="6C8D86B7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88131BC" w14:textId="22955444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scientific principles and evidence to provide an explanation about the effects of changing the temperature or concentration of the reacting particles on the rate at which a reaction occurs.</w:t>
            </w:r>
          </w:p>
        </w:tc>
      </w:tr>
      <w:tr w:rsidR="00250530" w14:paraId="6A466077" w14:textId="77777777" w:rsidTr="004B12A2">
        <w:tc>
          <w:tcPr>
            <w:tcW w:w="1440" w:type="dxa"/>
            <w:shd w:val="clear" w:color="auto" w:fill="auto"/>
            <w:vAlign w:val="center"/>
          </w:tcPr>
          <w:p w14:paraId="113FCED3" w14:textId="055BF102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7EE4127" w14:textId="637BD2C7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Refine the design of a chemical system by specifying a change in conditions that would produce increased amounts of products at equilibrium.</w:t>
            </w:r>
          </w:p>
        </w:tc>
      </w:tr>
      <w:tr w:rsidR="00250530" w14:paraId="7CE7770E" w14:textId="77777777" w:rsidTr="004B12A2">
        <w:tc>
          <w:tcPr>
            <w:tcW w:w="1440" w:type="dxa"/>
            <w:shd w:val="clear" w:color="auto" w:fill="auto"/>
            <w:vAlign w:val="center"/>
          </w:tcPr>
          <w:p w14:paraId="0E6155E3" w14:textId="77E74D0E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HS-PS1-7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728A24E" w14:textId="1E5BAE24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the claim that atoms, and therefore mass, are conserved during a chemical reaction.</w:t>
            </w:r>
          </w:p>
        </w:tc>
      </w:tr>
      <w:tr w:rsidR="00250530" w14:paraId="573E66C1" w14:textId="77777777" w:rsidTr="004B12A2">
        <w:tc>
          <w:tcPr>
            <w:tcW w:w="1440" w:type="dxa"/>
            <w:shd w:val="clear" w:color="auto" w:fill="auto"/>
            <w:vAlign w:val="center"/>
          </w:tcPr>
          <w:p w14:paraId="4A3C77D5" w14:textId="57C7E109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PAC-2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CCE0910" w14:textId="4E179FB7" w:rsidR="00250530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names and formulas of chemical compounds and use them to construct chemical equations.</w:t>
            </w:r>
          </w:p>
        </w:tc>
      </w:tr>
      <w:tr w:rsidR="00250530" w14:paraId="4273782F" w14:textId="77777777" w:rsidTr="004B12A2">
        <w:tc>
          <w:tcPr>
            <w:tcW w:w="1440" w:type="dxa"/>
            <w:shd w:val="clear" w:color="auto" w:fill="auto"/>
            <w:vAlign w:val="center"/>
          </w:tcPr>
          <w:p w14:paraId="5856F75C" w14:textId="273BA65B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PAC-3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B5C63F5" w14:textId="1355C134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Describe reversible reactions and reactions that involve reduction and oxidation.</w:t>
            </w:r>
          </w:p>
        </w:tc>
      </w:tr>
      <w:tr w:rsidR="00250530" w14:paraId="4A4A2871" w14:textId="77777777" w:rsidTr="004B12A2">
        <w:tc>
          <w:tcPr>
            <w:tcW w:w="1440" w:type="dxa"/>
            <w:shd w:val="clear" w:color="auto" w:fill="auto"/>
            <w:vAlign w:val="center"/>
          </w:tcPr>
          <w:p w14:paraId="62D6762B" w14:textId="5802EEFF" w:rsidR="00250530" w:rsidRPr="00925AD5" w:rsidRDefault="00925AD5" w:rsidP="0025053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PAC-4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8803A51" w14:textId="05F955C3" w:rsidR="00250530" w:rsidRPr="00481DE6" w:rsidRDefault="00250530" w:rsidP="0025053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Perform stoichiometric calculations involving the mole.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A48901E" w:rsidR="00334ABD" w:rsidRPr="00437FA3" w:rsidRDefault="00437FA3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437FA3">
              <w:rPr>
                <w:rFonts w:ascii="Calibri" w:hAnsi="Calibri" w:cs="Calibri"/>
                <w:i/>
                <w:color w:val="000000"/>
              </w:rPr>
              <w:t>Earth's Systems</w:t>
            </w:r>
          </w:p>
        </w:tc>
      </w:tr>
      <w:tr w:rsidR="00437FA3" w14:paraId="28115A43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27968A48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HS-ESS1-5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74C6025" w14:textId="659E56EF" w:rsidR="00437FA3" w:rsidRPr="00D34BC5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evidence of the past and current movement of continental and oceanic crust and the theory of plate tectonics to explain the ages of crustal rocks.</w:t>
            </w:r>
          </w:p>
        </w:tc>
      </w:tr>
      <w:tr w:rsidR="00437FA3" w14:paraId="32738EC8" w14:textId="77777777" w:rsidTr="004B12A2">
        <w:tc>
          <w:tcPr>
            <w:tcW w:w="1440" w:type="dxa"/>
            <w:shd w:val="clear" w:color="auto" w:fill="auto"/>
            <w:vAlign w:val="center"/>
          </w:tcPr>
          <w:p w14:paraId="3CC0889E" w14:textId="53777B9E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145EBCA" w14:textId="43599DA2" w:rsidR="00437FA3" w:rsidRPr="00D34BC5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Apply scientific reasoning and evidence from ancient Earth materials, meteorites, and other planetary surfaces to construct an account of Earth’s formation and early history.</w:t>
            </w:r>
          </w:p>
        </w:tc>
      </w:tr>
      <w:tr w:rsidR="00437FA3" w14:paraId="5BE66E7E" w14:textId="77777777" w:rsidTr="004B12A2">
        <w:tc>
          <w:tcPr>
            <w:tcW w:w="1440" w:type="dxa"/>
            <w:shd w:val="clear" w:color="auto" w:fill="auto"/>
            <w:vAlign w:val="center"/>
          </w:tcPr>
          <w:p w14:paraId="62FC0A0B" w14:textId="05BA2EB4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HS-ESS2-1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7A1A3EC1" w14:textId="3241E390" w:rsidR="00437FA3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how Earth’s internal and surface processes operate at different spatial and temporal scales to form continental and ocean-floor features.</w:t>
            </w:r>
          </w:p>
        </w:tc>
      </w:tr>
      <w:tr w:rsidR="00437FA3" w14:paraId="0555F1C5" w14:textId="77777777" w:rsidTr="004B12A2">
        <w:tc>
          <w:tcPr>
            <w:tcW w:w="1440" w:type="dxa"/>
            <w:shd w:val="clear" w:color="auto" w:fill="auto"/>
            <w:vAlign w:val="center"/>
          </w:tcPr>
          <w:p w14:paraId="078BC4D8" w14:textId="42E61B31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HS-ESS2-2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80B5203" w14:textId="73E3B991" w:rsidR="00437FA3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geoscience data to make the claim that one change to Earth’s surface can create feedbacks that cause changes to other Earth’s systems.</w:t>
            </w:r>
          </w:p>
        </w:tc>
      </w:tr>
      <w:tr w:rsidR="00437FA3" w14:paraId="52B84AF1" w14:textId="77777777" w:rsidTr="004B12A2">
        <w:tc>
          <w:tcPr>
            <w:tcW w:w="1440" w:type="dxa"/>
            <w:shd w:val="clear" w:color="auto" w:fill="auto"/>
            <w:vAlign w:val="center"/>
          </w:tcPr>
          <w:p w14:paraId="6B5E90AE" w14:textId="407517CA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HS-ESS2-3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5E163A4" w14:textId="3234DE95" w:rsidR="00437FA3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 model based on evidence of Earth’s interior to describe the cycling of matter by thermal convection.</w:t>
            </w:r>
          </w:p>
        </w:tc>
      </w:tr>
      <w:tr w:rsidR="00437FA3" w14:paraId="67B2CA79" w14:textId="77777777" w:rsidTr="004B12A2">
        <w:tc>
          <w:tcPr>
            <w:tcW w:w="1440" w:type="dxa"/>
            <w:shd w:val="clear" w:color="auto" w:fill="auto"/>
            <w:vAlign w:val="center"/>
          </w:tcPr>
          <w:p w14:paraId="0A0D3433" w14:textId="39107C23" w:rsidR="00437FA3" w:rsidRPr="00925AD5" w:rsidRDefault="00925AD5" w:rsidP="00437FA3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HS-ESS2-5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37984599" w14:textId="7EEC36E0" w:rsidR="00437FA3" w:rsidRDefault="00437FA3" w:rsidP="00437FA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of the properties of water and its effects on Earth materials and surface processes.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1E2F02DE" w:rsidR="00D03B3F" w:rsidRPr="00531B20" w:rsidRDefault="00531B20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531B20">
              <w:rPr>
                <w:rFonts w:ascii="Calibri" w:hAnsi="Calibri" w:cs="Calibri"/>
                <w:i/>
                <w:color w:val="000000"/>
              </w:rPr>
              <w:t>Earth and Human Activity</w:t>
            </w:r>
          </w:p>
        </w:tc>
      </w:tr>
      <w:tr w:rsidR="00531B20" w14:paraId="49920F93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5A351750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HS-ESS2-6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6FE01A6" w14:textId="25A299DA" w:rsidR="00531B20" w:rsidRPr="00941F7E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quantitative model to describe the cycling of carbon among the hydrosphere, atmosphere, geosphere, and biosphere.</w:t>
            </w:r>
          </w:p>
        </w:tc>
      </w:tr>
      <w:tr w:rsidR="00531B20" w14:paraId="6A7FF2D7" w14:textId="77777777" w:rsidTr="004B12A2">
        <w:tc>
          <w:tcPr>
            <w:tcW w:w="1440" w:type="dxa"/>
            <w:shd w:val="clear" w:color="auto" w:fill="auto"/>
            <w:vAlign w:val="center"/>
          </w:tcPr>
          <w:p w14:paraId="036C652E" w14:textId="7D2B1713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lastRenderedPageBreak/>
              <w:t>HS-ESS2-7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07242F7" w14:textId="0DCDA0F9" w:rsidR="00531B20" w:rsidRPr="00941F7E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argument based on evidence about the simultaneous coevolution of Earth’s systems and life on Earth.</w:t>
            </w:r>
          </w:p>
        </w:tc>
      </w:tr>
      <w:tr w:rsidR="00531B20" w14:paraId="348AA69D" w14:textId="77777777" w:rsidTr="004B12A2">
        <w:tc>
          <w:tcPr>
            <w:tcW w:w="1440" w:type="dxa"/>
            <w:shd w:val="clear" w:color="auto" w:fill="auto"/>
            <w:vAlign w:val="center"/>
          </w:tcPr>
          <w:p w14:paraId="210C27D8" w14:textId="122DB0CD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A615F1C" w14:textId="7538C2B4" w:rsidR="00531B20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competing design solutions for developing, managing, and utilizing energy and mineral resources based on cost-benefit ratios.</w:t>
            </w:r>
          </w:p>
        </w:tc>
      </w:tr>
      <w:tr w:rsidR="00531B20" w14:paraId="406763A4" w14:textId="77777777" w:rsidTr="004B12A2">
        <w:tc>
          <w:tcPr>
            <w:tcW w:w="1440" w:type="dxa"/>
            <w:shd w:val="clear" w:color="auto" w:fill="auto"/>
            <w:vAlign w:val="center"/>
          </w:tcPr>
          <w:p w14:paraId="5C5AB3C3" w14:textId="7887C78F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HS-ESS3-3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EAF2692" w14:textId="74224C28" w:rsidR="00531B20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 a computational simulation to illustrate the relationships among management of natural resources, the sustainability of human populations, and biodiversity.</w:t>
            </w:r>
          </w:p>
        </w:tc>
      </w:tr>
      <w:tr w:rsidR="00531B20" w14:paraId="5B3435DC" w14:textId="77777777" w:rsidTr="004B12A2">
        <w:tc>
          <w:tcPr>
            <w:tcW w:w="1440" w:type="dxa"/>
            <w:shd w:val="clear" w:color="auto" w:fill="auto"/>
            <w:vAlign w:val="center"/>
          </w:tcPr>
          <w:p w14:paraId="3F793681" w14:textId="4A7A0ECB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HS-ESS3-4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82CD6AB" w14:textId="3F40B4E9" w:rsidR="00531B20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or refine a technological solution that reduces the impacts of human activities on natural systems.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531B20" w14:paraId="212104F5" w14:textId="77777777" w:rsidTr="004B12A2">
        <w:tc>
          <w:tcPr>
            <w:tcW w:w="1440" w:type="dxa"/>
            <w:shd w:val="clear" w:color="auto" w:fill="auto"/>
            <w:vAlign w:val="center"/>
          </w:tcPr>
          <w:p w14:paraId="716DFB38" w14:textId="735175FE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HS-ESS3-5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234B7700" w14:textId="77279C6B" w:rsidR="00531B20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geoscience data and the results from global climate models to make an evidence-based forecast of the current rate of global or regional climate change and associated future impacts to Earth systems.</w:t>
            </w:r>
          </w:p>
        </w:tc>
      </w:tr>
      <w:tr w:rsidR="00531B20" w14:paraId="6F34F526" w14:textId="77777777" w:rsidTr="004B12A2">
        <w:tc>
          <w:tcPr>
            <w:tcW w:w="1440" w:type="dxa"/>
            <w:shd w:val="clear" w:color="auto" w:fill="auto"/>
            <w:vAlign w:val="center"/>
          </w:tcPr>
          <w:p w14:paraId="49941EB6" w14:textId="48984A02" w:rsidR="00531B20" w:rsidRPr="00925AD5" w:rsidRDefault="00925AD5" w:rsidP="00531B20">
            <w:pPr>
              <w:spacing w:before="60" w:after="60"/>
              <w:contextualSpacing/>
              <w:rPr>
                <w:rFonts w:cstheme="minorHAnsi"/>
              </w:rPr>
            </w:pPr>
            <w:r w:rsidRPr="00925AD5">
              <w:rPr>
                <w:rFonts w:ascii="Calibri" w:hAnsi="Calibri" w:cs="Calibri"/>
                <w:bCs/>
                <w:color w:val="000000"/>
              </w:rPr>
              <w:t>HS-ESS3-6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26B0894" w14:textId="44D98AA2" w:rsidR="00531B20" w:rsidRPr="00941F7E" w:rsidRDefault="00531B20" w:rsidP="00531B2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a computational representation to illustrate the relationships among Earth systems and how those relationships are being modified due to human activity.</w:t>
            </w:r>
          </w:p>
        </w:tc>
      </w:tr>
      <w:tr w:rsidR="009817AF" w:rsidRPr="006B04F1" w14:paraId="1A00C0F1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76E3555" w14:textId="69C777C6" w:rsidR="009817AF" w:rsidRPr="006B04F1" w:rsidRDefault="009817AF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6B04F1">
              <w:rPr>
                <w:rFonts w:ascii="Calibri" w:hAnsi="Calibri" w:cs="Calibri"/>
                <w:i/>
                <w:color w:val="000000"/>
              </w:rPr>
              <w:t>E</w:t>
            </w:r>
            <w:r>
              <w:rPr>
                <w:rFonts w:ascii="Calibri" w:hAnsi="Calibri" w:cs="Calibri"/>
                <w:i/>
                <w:color w:val="000000"/>
              </w:rPr>
              <w:t>ngineering</w:t>
            </w:r>
          </w:p>
        </w:tc>
      </w:tr>
      <w:tr w:rsidR="00A53C1E" w:rsidRPr="00941F7E" w14:paraId="02C1F48F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9F6A6D5" w14:textId="45E859CB" w:rsidR="00A53C1E" w:rsidRPr="00B207E8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B207E8">
              <w:rPr>
                <w:rFonts w:ascii="Calibri" w:hAnsi="Calibri" w:cs="Calibri"/>
                <w:bCs/>
                <w:color w:val="000000"/>
              </w:rPr>
              <w:t>HS-ETS1-1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766B0594" w14:textId="1C51EA3D" w:rsidR="00A53C1E" w:rsidRPr="00941F7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A53C1E" w:rsidRPr="00941F7E" w14:paraId="6F218143" w14:textId="77777777" w:rsidTr="004B12A2">
        <w:tc>
          <w:tcPr>
            <w:tcW w:w="1440" w:type="dxa"/>
            <w:shd w:val="clear" w:color="auto" w:fill="auto"/>
            <w:vAlign w:val="center"/>
          </w:tcPr>
          <w:p w14:paraId="65CFB3BD" w14:textId="10E2912F" w:rsidR="00A53C1E" w:rsidRPr="00B207E8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B207E8">
              <w:rPr>
                <w:rFonts w:ascii="Calibri" w:hAnsi="Calibri" w:cs="Calibri"/>
                <w:bCs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C2F56CA" w14:textId="2C4FE02E" w:rsidR="00A53C1E" w:rsidRPr="00941F7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A53C1E" w14:paraId="47092731" w14:textId="77777777" w:rsidTr="004B12A2">
        <w:tc>
          <w:tcPr>
            <w:tcW w:w="1440" w:type="dxa"/>
            <w:shd w:val="clear" w:color="auto" w:fill="auto"/>
            <w:vAlign w:val="center"/>
          </w:tcPr>
          <w:p w14:paraId="7368C72C" w14:textId="30513646" w:rsidR="00A53C1E" w:rsidRPr="00B207E8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B207E8">
              <w:rPr>
                <w:rFonts w:ascii="Calibri" w:hAnsi="Calibri" w:cs="Calibri"/>
                <w:bCs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5ADC91D" w14:textId="3754FB97" w:rsidR="00A53C1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A53C1E" w14:paraId="2467D386" w14:textId="77777777" w:rsidTr="004B12A2">
        <w:tc>
          <w:tcPr>
            <w:tcW w:w="1440" w:type="dxa"/>
            <w:shd w:val="clear" w:color="auto" w:fill="auto"/>
            <w:vAlign w:val="center"/>
          </w:tcPr>
          <w:p w14:paraId="3044B23E" w14:textId="0F120A3B" w:rsidR="00A53C1E" w:rsidRPr="00B207E8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B207E8">
              <w:rPr>
                <w:rFonts w:ascii="Calibri" w:hAnsi="Calibri" w:cs="Calibri"/>
                <w:bCs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676BE1A" w14:textId="475E6F49" w:rsidR="00A53C1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0D79CF73" w:rsidR="009817AF" w:rsidRPr="00E04C65" w:rsidRDefault="00E04C65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E04C65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A53C1E" w:rsidRPr="00941F7E" w14:paraId="46FF9A79" w14:textId="77777777" w:rsidTr="004B12A2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1FA6D251" w:rsidR="00A53C1E" w:rsidRPr="004B12A2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590F9CCF" w14:textId="76448C9A" w:rsidR="00A53C1E" w:rsidRPr="00941F7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A53C1E" w:rsidRPr="00941F7E" w14:paraId="16714C91" w14:textId="77777777" w:rsidTr="004B12A2">
        <w:tc>
          <w:tcPr>
            <w:tcW w:w="1440" w:type="dxa"/>
            <w:shd w:val="clear" w:color="auto" w:fill="auto"/>
            <w:vAlign w:val="center"/>
          </w:tcPr>
          <w:p w14:paraId="56D5F5AA" w14:textId="28F0D9BB" w:rsidR="00A53C1E" w:rsidRPr="004B12A2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93E4F33" w14:textId="406CE18A" w:rsidR="00A53C1E" w:rsidRPr="00941F7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A53C1E" w14:paraId="7AA45C09" w14:textId="77777777" w:rsidTr="004B12A2">
        <w:tc>
          <w:tcPr>
            <w:tcW w:w="1440" w:type="dxa"/>
            <w:shd w:val="clear" w:color="auto" w:fill="auto"/>
            <w:vAlign w:val="center"/>
          </w:tcPr>
          <w:p w14:paraId="139325E1" w14:textId="3BB5E25D" w:rsidR="00A53C1E" w:rsidRPr="004B12A2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9-10.RST.3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F20DBFE" w14:textId="3DACAF13" w:rsidR="00A53C1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</w:tr>
      <w:tr w:rsidR="00A53C1E" w14:paraId="6945723B" w14:textId="77777777" w:rsidTr="004B12A2">
        <w:tc>
          <w:tcPr>
            <w:tcW w:w="1440" w:type="dxa"/>
            <w:shd w:val="clear" w:color="auto" w:fill="auto"/>
            <w:vAlign w:val="center"/>
          </w:tcPr>
          <w:p w14:paraId="0E6BD164" w14:textId="6E3AC99D" w:rsidR="00A53C1E" w:rsidRPr="004B12A2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94C9037" w14:textId="2D56257D" w:rsidR="00A53C1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ing when the findings support or contradict previous explanations or accounts.</w:t>
            </w:r>
          </w:p>
        </w:tc>
      </w:tr>
      <w:tr w:rsidR="00A53C1E" w14:paraId="5229DEE3" w14:textId="77777777" w:rsidTr="004B12A2">
        <w:tc>
          <w:tcPr>
            <w:tcW w:w="1440" w:type="dxa"/>
            <w:shd w:val="clear" w:color="auto" w:fill="auto"/>
            <w:vAlign w:val="center"/>
          </w:tcPr>
          <w:p w14:paraId="283C42FD" w14:textId="5E6EB839" w:rsidR="00A53C1E" w:rsidRPr="004B12A2" w:rsidRDefault="00B207E8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</w:t>
            </w:r>
            <w:proofErr w:type="gramStart"/>
            <w:r w:rsidRPr="004B12A2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4B12A2">
              <w:rPr>
                <w:rFonts w:ascii="Calibri" w:hAnsi="Calibri" w:cs="Calibri"/>
                <w:bCs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AE2998F" w14:textId="7DCF402B" w:rsidR="00A53C1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A53C1E" w:rsidRPr="00941F7E" w14:paraId="74532138" w14:textId="77777777" w:rsidTr="004B12A2">
        <w:tc>
          <w:tcPr>
            <w:tcW w:w="1440" w:type="dxa"/>
            <w:shd w:val="clear" w:color="auto" w:fill="auto"/>
            <w:vAlign w:val="center"/>
          </w:tcPr>
          <w:p w14:paraId="2B587F6F" w14:textId="71A9E122" w:rsidR="00A53C1E" w:rsidRPr="004B12A2" w:rsidRDefault="004B12A2" w:rsidP="00A53C1E">
            <w:pPr>
              <w:spacing w:before="60" w:after="60"/>
              <w:contextualSpacing/>
              <w:rPr>
                <w:rFonts w:cstheme="minorHAnsi"/>
              </w:rPr>
            </w:pPr>
            <w:r w:rsidRPr="004B12A2">
              <w:rPr>
                <w:rFonts w:ascii="Calibri" w:hAnsi="Calibri" w:cs="Calibri"/>
                <w:bCs/>
                <w:color w:val="000000"/>
              </w:rPr>
              <w:t>9-</w:t>
            </w:r>
            <w:proofErr w:type="gramStart"/>
            <w:r w:rsidRPr="004B12A2">
              <w:rPr>
                <w:rFonts w:ascii="Calibri" w:hAnsi="Calibri" w:cs="Calibri"/>
                <w:bCs/>
                <w:color w:val="000000"/>
              </w:rPr>
              <w:t>10.WHST</w:t>
            </w:r>
            <w:proofErr w:type="gramEnd"/>
            <w:r w:rsidRPr="004B12A2">
              <w:rPr>
                <w:rFonts w:ascii="Calibri" w:hAnsi="Calibri" w:cs="Calibri"/>
                <w:bCs/>
                <w:color w:val="000000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D1D9E69" w14:textId="42F64FC4" w:rsidR="00A53C1E" w:rsidRPr="00941F7E" w:rsidRDefault="00A53C1E" w:rsidP="00A53C1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D6FD" w14:textId="77777777" w:rsidR="00C63058" w:rsidRDefault="00C63058" w:rsidP="00C771E6">
      <w:pPr>
        <w:spacing w:after="0" w:line="240" w:lineRule="auto"/>
      </w:pPr>
      <w:r>
        <w:separator/>
      </w:r>
    </w:p>
  </w:endnote>
  <w:endnote w:type="continuationSeparator" w:id="0">
    <w:p w14:paraId="33BAD6E1" w14:textId="77777777" w:rsidR="00C63058" w:rsidRDefault="00C6305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1C40C06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B207E8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18B7" w14:textId="77777777" w:rsidR="00C63058" w:rsidRDefault="00C63058" w:rsidP="00C771E6">
      <w:pPr>
        <w:spacing w:after="0" w:line="240" w:lineRule="auto"/>
      </w:pPr>
      <w:r>
        <w:separator/>
      </w:r>
    </w:p>
  </w:footnote>
  <w:footnote w:type="continuationSeparator" w:id="0">
    <w:p w14:paraId="04E48F1A" w14:textId="77777777" w:rsidR="00C63058" w:rsidRDefault="00C6305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34802"/>
    <w:rsid w:val="00046E53"/>
    <w:rsid w:val="000513EA"/>
    <w:rsid w:val="0005509C"/>
    <w:rsid w:val="00066689"/>
    <w:rsid w:val="00071391"/>
    <w:rsid w:val="000A190C"/>
    <w:rsid w:val="000A1C4A"/>
    <w:rsid w:val="000B55E0"/>
    <w:rsid w:val="000C63CC"/>
    <w:rsid w:val="000D5A44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214607"/>
    <w:rsid w:val="00217BF0"/>
    <w:rsid w:val="002213EF"/>
    <w:rsid w:val="00226A60"/>
    <w:rsid w:val="002327DD"/>
    <w:rsid w:val="0025053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D4829"/>
    <w:rsid w:val="003E380B"/>
    <w:rsid w:val="003F4865"/>
    <w:rsid w:val="00401CEC"/>
    <w:rsid w:val="00402F48"/>
    <w:rsid w:val="00437FA3"/>
    <w:rsid w:val="00457B2F"/>
    <w:rsid w:val="0046314B"/>
    <w:rsid w:val="0046530E"/>
    <w:rsid w:val="00473154"/>
    <w:rsid w:val="00473927"/>
    <w:rsid w:val="00480FC3"/>
    <w:rsid w:val="00481DE6"/>
    <w:rsid w:val="004B12A2"/>
    <w:rsid w:val="004B7D65"/>
    <w:rsid w:val="004C0926"/>
    <w:rsid w:val="004D1BA1"/>
    <w:rsid w:val="004F7CF7"/>
    <w:rsid w:val="0050073D"/>
    <w:rsid w:val="005141FB"/>
    <w:rsid w:val="005209DD"/>
    <w:rsid w:val="00521757"/>
    <w:rsid w:val="00531B20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B04F1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6E99"/>
    <w:rsid w:val="00817384"/>
    <w:rsid w:val="008221D0"/>
    <w:rsid w:val="00823181"/>
    <w:rsid w:val="0082351B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7270"/>
    <w:rsid w:val="0092093A"/>
    <w:rsid w:val="00925AD5"/>
    <w:rsid w:val="0093529B"/>
    <w:rsid w:val="009408A9"/>
    <w:rsid w:val="00941F7E"/>
    <w:rsid w:val="009515E0"/>
    <w:rsid w:val="009612C1"/>
    <w:rsid w:val="00961B0C"/>
    <w:rsid w:val="00964BB1"/>
    <w:rsid w:val="00970B65"/>
    <w:rsid w:val="009777CE"/>
    <w:rsid w:val="00977BF5"/>
    <w:rsid w:val="009817AF"/>
    <w:rsid w:val="00990599"/>
    <w:rsid w:val="009A27B0"/>
    <w:rsid w:val="009A654C"/>
    <w:rsid w:val="009B5AE1"/>
    <w:rsid w:val="009B6F71"/>
    <w:rsid w:val="009C012F"/>
    <w:rsid w:val="009C2D8E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207E8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049A"/>
    <w:rsid w:val="00C05C27"/>
    <w:rsid w:val="00C1239C"/>
    <w:rsid w:val="00C14569"/>
    <w:rsid w:val="00C22081"/>
    <w:rsid w:val="00C236C3"/>
    <w:rsid w:val="00C45F00"/>
    <w:rsid w:val="00C63058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E708F"/>
    <w:rsid w:val="00CF1A7F"/>
    <w:rsid w:val="00D03B3F"/>
    <w:rsid w:val="00D05D54"/>
    <w:rsid w:val="00D1141F"/>
    <w:rsid w:val="00D157A9"/>
    <w:rsid w:val="00D15D31"/>
    <w:rsid w:val="00D21124"/>
    <w:rsid w:val="00D24DF5"/>
    <w:rsid w:val="00D2735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04C65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D9636-833D-43ED-9FD5-F016D9D1E418}"/>
</file>

<file path=customXml/itemProps4.xml><?xml version="1.0" encoding="utf-8"?>
<ds:datastoreItem xmlns:ds="http://schemas.openxmlformats.org/officeDocument/2006/customXml" ds:itemID="{531E1420-5E8E-4E46-8D94-72D6AB45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10</cp:revision>
  <cp:lastPrinted>2015-06-12T15:31:00Z</cp:lastPrinted>
  <dcterms:created xsi:type="dcterms:W3CDTF">2020-08-20T17:14:00Z</dcterms:created>
  <dcterms:modified xsi:type="dcterms:W3CDTF">2020-12-01T18:36:00Z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