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170"/>
        <w:gridCol w:w="4770"/>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4B7FFE22" w:rsidR="000276C0" w:rsidRPr="0001423C" w:rsidRDefault="0042520B" w:rsidP="001055F1">
            <w:pPr>
              <w:rPr>
                <w:b/>
                <w:color w:val="FFFFFF" w:themeColor="background1"/>
                <w:sz w:val="28"/>
              </w:rPr>
            </w:pPr>
            <w:r>
              <w:rPr>
                <w:rFonts w:ascii="Arial" w:hAnsi="Arial" w:cs="Arial"/>
                <w:sz w:val="48"/>
                <w:szCs w:val="48"/>
              </w:rPr>
              <w:t>AICE</w:t>
            </w:r>
            <w:r w:rsidR="00D866FE">
              <w:rPr>
                <w:rFonts w:ascii="Arial" w:hAnsi="Arial" w:cs="Arial"/>
                <w:sz w:val="48"/>
                <w:szCs w:val="48"/>
              </w:rPr>
              <w:t xml:space="preserve"> Chemistry</w:t>
            </w:r>
            <w:r>
              <w:rPr>
                <w:rFonts w:ascii="Arial" w:hAnsi="Arial" w:cs="Arial"/>
                <w:sz w:val="48"/>
                <w:szCs w:val="48"/>
              </w:rPr>
              <w:t xml:space="preserve"> 1</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1652E55A" w:rsidR="000276C0" w:rsidRPr="00757C5A" w:rsidRDefault="000276C0" w:rsidP="00873C3A">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873C3A">
              <w:rPr>
                <w:rFonts w:ascii="Arial" w:hAnsi="Arial" w:cs="Arial"/>
                <w:b/>
                <w:sz w:val="28"/>
                <w:szCs w:val="28"/>
              </w:rPr>
              <w:t>Priority Standards</w:t>
            </w:r>
            <w:bookmarkStart w:id="0" w:name="_GoBack"/>
            <w:bookmarkEnd w:id="0"/>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7E667D64" w:rsidR="000276C0" w:rsidRPr="0001423C" w:rsidRDefault="000F6ED9" w:rsidP="001055F1">
            <w:pPr>
              <w:rPr>
                <w:b/>
                <w:color w:val="FFFFFF" w:themeColor="background1"/>
                <w:sz w:val="28"/>
              </w:rPr>
            </w:pPr>
            <w:r>
              <w:rPr>
                <w:b/>
                <w:color w:val="FFFFFF" w:themeColor="background1"/>
                <w:sz w:val="28"/>
              </w:rPr>
              <w:t>1</w:t>
            </w:r>
            <w:r w:rsidR="0042520B">
              <w:rPr>
                <w:b/>
                <w:color w:val="FFFFFF" w:themeColor="background1"/>
                <w:sz w:val="28"/>
              </w:rPr>
              <w:t>1</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67F21D75" w:rsidR="000276C0" w:rsidRPr="00B069FE" w:rsidRDefault="00B069FE" w:rsidP="00816E99">
            <w:pPr>
              <w:rPr>
                <w:rFonts w:ascii="Calibri" w:hAnsi="Calibri" w:cs="Calibri"/>
                <w:i/>
                <w:color w:val="000000"/>
              </w:rPr>
            </w:pPr>
            <w:r w:rsidRPr="00B069FE">
              <w:rPr>
                <w:rFonts w:ascii="Calibri" w:hAnsi="Calibri" w:cs="Calibri"/>
                <w:i/>
                <w:color w:val="000000"/>
              </w:rPr>
              <w:t>Introductory Physical Chemistry</w:t>
            </w:r>
          </w:p>
        </w:tc>
      </w:tr>
      <w:tr w:rsidR="00B069FE" w14:paraId="073B08AB" w14:textId="77777777" w:rsidTr="0071456B">
        <w:tc>
          <w:tcPr>
            <w:tcW w:w="1170" w:type="dxa"/>
            <w:tcBorders>
              <w:top w:val="single" w:sz="8" w:space="0" w:color="404040" w:themeColor="text1" w:themeTint="BF"/>
            </w:tcBorders>
            <w:shd w:val="clear" w:color="auto" w:fill="auto"/>
            <w:vAlign w:val="center"/>
          </w:tcPr>
          <w:p w14:paraId="3C4B3FBF" w14:textId="57B0AC4A" w:rsidR="00B069FE" w:rsidRDefault="0071456B" w:rsidP="00B069FE">
            <w:pPr>
              <w:spacing w:before="60" w:after="60"/>
              <w:contextualSpacing/>
              <w:rPr>
                <w:rFonts w:cstheme="minorHAnsi"/>
              </w:rPr>
            </w:pPr>
            <w:r>
              <w:rPr>
                <w:rFonts w:ascii="Calibri" w:hAnsi="Calibri" w:cs="Calibri"/>
                <w:color w:val="000000"/>
              </w:rPr>
              <w:t>PS1</w:t>
            </w:r>
          </w:p>
        </w:tc>
        <w:tc>
          <w:tcPr>
            <w:tcW w:w="9620" w:type="dxa"/>
            <w:gridSpan w:val="2"/>
            <w:tcBorders>
              <w:top w:val="single" w:sz="8" w:space="0" w:color="404040" w:themeColor="text1" w:themeTint="BF"/>
            </w:tcBorders>
            <w:shd w:val="clear" w:color="auto" w:fill="auto"/>
            <w:vAlign w:val="bottom"/>
          </w:tcPr>
          <w:p w14:paraId="2DD95FC0" w14:textId="477D01D7" w:rsidR="00B069FE" w:rsidRPr="00481DE6" w:rsidRDefault="00B069FE" w:rsidP="00B069FE">
            <w:pPr>
              <w:autoSpaceDE w:val="0"/>
              <w:autoSpaceDN w:val="0"/>
              <w:adjustRightInd w:val="0"/>
              <w:spacing w:before="60" w:after="60"/>
              <w:contextualSpacing/>
              <w:rPr>
                <w:rFonts w:cstheme="minorHAnsi"/>
                <w:noProof/>
              </w:rPr>
            </w:pPr>
            <w:r>
              <w:rPr>
                <w:rFonts w:ascii="Calibri" w:hAnsi="Calibri" w:cs="Calibri"/>
                <w:color w:val="000000"/>
              </w:rPr>
              <w:t>Stoichiometry: Demonstrate an understanding of stoichiometry by carrying out stoichiometric calculations</w:t>
            </w:r>
          </w:p>
        </w:tc>
      </w:tr>
      <w:tr w:rsidR="00B069FE" w14:paraId="4EAB7A77" w14:textId="77777777" w:rsidTr="0071456B">
        <w:tc>
          <w:tcPr>
            <w:tcW w:w="1170" w:type="dxa"/>
            <w:shd w:val="clear" w:color="auto" w:fill="auto"/>
            <w:vAlign w:val="center"/>
          </w:tcPr>
          <w:p w14:paraId="7EC83945" w14:textId="66B62341" w:rsidR="00B069FE" w:rsidRDefault="0071456B" w:rsidP="00B069FE">
            <w:pPr>
              <w:spacing w:before="60" w:after="60"/>
              <w:contextualSpacing/>
              <w:rPr>
                <w:rFonts w:cstheme="minorHAnsi"/>
              </w:rPr>
            </w:pPr>
            <w:r>
              <w:rPr>
                <w:rFonts w:ascii="Calibri" w:hAnsi="Calibri" w:cs="Calibri"/>
                <w:color w:val="000000"/>
              </w:rPr>
              <w:t>PS2</w:t>
            </w:r>
          </w:p>
        </w:tc>
        <w:tc>
          <w:tcPr>
            <w:tcW w:w="9620" w:type="dxa"/>
            <w:gridSpan w:val="2"/>
            <w:shd w:val="clear" w:color="auto" w:fill="auto"/>
            <w:vAlign w:val="bottom"/>
          </w:tcPr>
          <w:p w14:paraId="624A1243" w14:textId="4719D791" w:rsidR="00B069FE" w:rsidRPr="00481DE6" w:rsidRDefault="00B069FE" w:rsidP="00B069FE">
            <w:pPr>
              <w:autoSpaceDE w:val="0"/>
              <w:autoSpaceDN w:val="0"/>
              <w:adjustRightInd w:val="0"/>
              <w:spacing w:before="60" w:after="60"/>
              <w:contextualSpacing/>
              <w:rPr>
                <w:rFonts w:cstheme="minorHAnsi"/>
                <w:noProof/>
              </w:rPr>
            </w:pPr>
            <w:r>
              <w:rPr>
                <w:rFonts w:ascii="Calibri" w:hAnsi="Calibri" w:cs="Calibri"/>
                <w:color w:val="000000"/>
              </w:rPr>
              <w:t>Atomic Structure: Using the type, number, and distribution of the fundamental particles which make up an atom, determine their impact on atomic properties</w:t>
            </w:r>
          </w:p>
        </w:tc>
      </w:tr>
      <w:tr w:rsidR="00B069FE" w14:paraId="7C1636D2" w14:textId="77777777" w:rsidTr="0071456B">
        <w:tc>
          <w:tcPr>
            <w:tcW w:w="1170" w:type="dxa"/>
            <w:shd w:val="clear" w:color="auto" w:fill="auto"/>
            <w:vAlign w:val="center"/>
          </w:tcPr>
          <w:p w14:paraId="5E46B56A" w14:textId="7C798573" w:rsidR="00B069FE" w:rsidRDefault="0071456B" w:rsidP="00B069FE">
            <w:pPr>
              <w:spacing w:before="60" w:after="60"/>
              <w:contextualSpacing/>
              <w:rPr>
                <w:rFonts w:cstheme="minorHAnsi"/>
              </w:rPr>
            </w:pPr>
            <w:r>
              <w:rPr>
                <w:rFonts w:ascii="Calibri" w:hAnsi="Calibri" w:cs="Calibri"/>
                <w:color w:val="000000"/>
              </w:rPr>
              <w:t>PS3</w:t>
            </w:r>
          </w:p>
        </w:tc>
        <w:tc>
          <w:tcPr>
            <w:tcW w:w="9620" w:type="dxa"/>
            <w:gridSpan w:val="2"/>
            <w:shd w:val="clear" w:color="auto" w:fill="auto"/>
            <w:vAlign w:val="bottom"/>
          </w:tcPr>
          <w:p w14:paraId="59AA79F9" w14:textId="4AAD7BF7" w:rsidR="00B069FE" w:rsidRDefault="00B069FE" w:rsidP="00B069FE">
            <w:pPr>
              <w:autoSpaceDE w:val="0"/>
              <w:autoSpaceDN w:val="0"/>
              <w:adjustRightInd w:val="0"/>
              <w:spacing w:before="60" w:after="60"/>
              <w:contextualSpacing/>
              <w:rPr>
                <w:rFonts w:ascii="Calibri" w:hAnsi="Calibri" w:cs="Calibri"/>
                <w:color w:val="000000"/>
              </w:rPr>
            </w:pPr>
            <w:r>
              <w:rPr>
                <w:rFonts w:ascii="Calibri" w:hAnsi="Calibri" w:cs="Calibri"/>
                <w:color w:val="000000"/>
              </w:rPr>
              <w:t>Chemical Bonding: Using the different ways by which chemical bonding occurs, explain the effect this can have on physical properties</w:t>
            </w:r>
          </w:p>
        </w:tc>
      </w:tr>
      <w:tr w:rsidR="00B069FE" w14:paraId="4A2F3907" w14:textId="77777777" w:rsidTr="0071456B">
        <w:tc>
          <w:tcPr>
            <w:tcW w:w="1170" w:type="dxa"/>
            <w:shd w:val="clear" w:color="auto" w:fill="auto"/>
            <w:vAlign w:val="center"/>
          </w:tcPr>
          <w:p w14:paraId="724D97D3" w14:textId="2AF54DBB" w:rsidR="00B069FE" w:rsidRDefault="0071456B" w:rsidP="00B069FE">
            <w:pPr>
              <w:spacing w:before="60" w:after="60"/>
              <w:contextualSpacing/>
              <w:rPr>
                <w:rFonts w:cstheme="minorHAnsi"/>
              </w:rPr>
            </w:pPr>
            <w:r>
              <w:rPr>
                <w:rFonts w:ascii="Calibri" w:hAnsi="Calibri" w:cs="Calibri"/>
                <w:color w:val="000000"/>
              </w:rPr>
              <w:t>PS4</w:t>
            </w:r>
          </w:p>
        </w:tc>
        <w:tc>
          <w:tcPr>
            <w:tcW w:w="9620" w:type="dxa"/>
            <w:gridSpan w:val="2"/>
            <w:shd w:val="clear" w:color="auto" w:fill="auto"/>
            <w:vAlign w:val="bottom"/>
          </w:tcPr>
          <w:p w14:paraId="25C6797B" w14:textId="3566270F" w:rsidR="00B069FE" w:rsidRDefault="00B069FE" w:rsidP="00B069FE">
            <w:pPr>
              <w:autoSpaceDE w:val="0"/>
              <w:autoSpaceDN w:val="0"/>
              <w:adjustRightInd w:val="0"/>
              <w:spacing w:before="60" w:after="60"/>
              <w:contextualSpacing/>
              <w:rPr>
                <w:rFonts w:ascii="Calibri" w:hAnsi="Calibri" w:cs="Calibri"/>
                <w:color w:val="000000"/>
              </w:rPr>
            </w:pPr>
            <w:r>
              <w:rPr>
                <w:rFonts w:ascii="Calibri" w:hAnsi="Calibri" w:cs="Calibri"/>
                <w:color w:val="000000"/>
              </w:rPr>
              <w:t>States of Matter: Carry out quantitative calculations on volumes of gases using PV=</w:t>
            </w:r>
            <w:proofErr w:type="spellStart"/>
            <w:r>
              <w:rPr>
                <w:rFonts w:ascii="Calibri" w:hAnsi="Calibri" w:cs="Calibri"/>
                <w:color w:val="000000"/>
              </w:rPr>
              <w:t>nRt</w:t>
            </w:r>
            <w:proofErr w:type="spellEnd"/>
            <w:r>
              <w:rPr>
                <w:rFonts w:ascii="Calibri" w:hAnsi="Calibri" w:cs="Calibri"/>
                <w:color w:val="000000"/>
              </w:rPr>
              <w:t>. Describe, using the kinetic-molecular model, liquids and solids.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307EABCA" w:rsidR="0078281C" w:rsidRPr="00B069FE" w:rsidRDefault="00B069FE" w:rsidP="003D4829">
            <w:pPr>
              <w:rPr>
                <w:rFonts w:ascii="Calibri" w:hAnsi="Calibri" w:cs="Calibri"/>
                <w:i/>
                <w:color w:val="000000"/>
              </w:rPr>
            </w:pPr>
            <w:r w:rsidRPr="00B069FE">
              <w:rPr>
                <w:rFonts w:ascii="Calibri" w:hAnsi="Calibri" w:cs="Calibri"/>
                <w:i/>
                <w:color w:val="000000"/>
              </w:rPr>
              <w:t>Advanced Physical Chemistry</w:t>
            </w:r>
          </w:p>
        </w:tc>
      </w:tr>
      <w:tr w:rsidR="00525EC4" w14:paraId="0BBA095B" w14:textId="77777777" w:rsidTr="0071456B">
        <w:tc>
          <w:tcPr>
            <w:tcW w:w="1170" w:type="dxa"/>
            <w:tcBorders>
              <w:top w:val="single" w:sz="8" w:space="0" w:color="404040" w:themeColor="text1" w:themeTint="BF"/>
              <w:bottom w:val="single" w:sz="8" w:space="0" w:color="BFBFBF" w:themeColor="background1" w:themeShade="BF"/>
            </w:tcBorders>
            <w:shd w:val="clear" w:color="auto" w:fill="auto"/>
            <w:vAlign w:val="center"/>
          </w:tcPr>
          <w:p w14:paraId="46388975" w14:textId="173373BA" w:rsidR="00525EC4" w:rsidRPr="00990599" w:rsidRDefault="0071456B" w:rsidP="00525EC4">
            <w:pPr>
              <w:spacing w:before="60" w:after="60"/>
              <w:contextualSpacing/>
              <w:rPr>
                <w:rFonts w:cstheme="minorHAnsi"/>
              </w:rPr>
            </w:pPr>
            <w:r>
              <w:rPr>
                <w:rFonts w:ascii="Calibri" w:hAnsi="Calibri" w:cs="Calibri"/>
                <w:color w:val="000000"/>
              </w:rPr>
              <w:t>PS5</w:t>
            </w:r>
          </w:p>
        </w:tc>
        <w:tc>
          <w:tcPr>
            <w:tcW w:w="9620"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2ADEDA98" w:rsidR="00525EC4" w:rsidRPr="00481DE6" w:rsidRDefault="00525EC4" w:rsidP="00525EC4">
            <w:pPr>
              <w:autoSpaceDE w:val="0"/>
              <w:autoSpaceDN w:val="0"/>
              <w:adjustRightInd w:val="0"/>
              <w:spacing w:before="60" w:after="60"/>
              <w:contextualSpacing/>
              <w:rPr>
                <w:rFonts w:cstheme="minorHAnsi"/>
                <w:noProof/>
              </w:rPr>
            </w:pPr>
            <w:r>
              <w:rPr>
                <w:rFonts w:ascii="Calibri" w:hAnsi="Calibri" w:cs="Calibri"/>
                <w:color w:val="000000"/>
              </w:rPr>
              <w:t>Chemical Energetics: Enthalpy changes and entropy changes accompany chemical reactions.</w:t>
            </w:r>
          </w:p>
        </w:tc>
      </w:tr>
      <w:tr w:rsidR="00525EC4" w14:paraId="53598E50" w14:textId="77777777" w:rsidTr="0071456B">
        <w:tc>
          <w:tcPr>
            <w:tcW w:w="1170" w:type="dxa"/>
            <w:tcBorders>
              <w:top w:val="single" w:sz="8" w:space="0" w:color="BFBFBF" w:themeColor="background1" w:themeShade="BF"/>
              <w:bottom w:val="single" w:sz="8" w:space="0" w:color="BFBFBF" w:themeColor="background1" w:themeShade="BF"/>
            </w:tcBorders>
            <w:shd w:val="clear" w:color="auto" w:fill="auto"/>
            <w:vAlign w:val="center"/>
          </w:tcPr>
          <w:p w14:paraId="588243C1" w14:textId="0F4940B7" w:rsidR="00525EC4" w:rsidRDefault="0071456B" w:rsidP="00525EC4">
            <w:pPr>
              <w:spacing w:before="60" w:after="60"/>
              <w:contextualSpacing/>
              <w:rPr>
                <w:rFonts w:cstheme="minorHAnsi"/>
              </w:rPr>
            </w:pPr>
            <w:r>
              <w:rPr>
                <w:rFonts w:ascii="Calibri" w:hAnsi="Calibri" w:cs="Calibri"/>
                <w:color w:val="000000"/>
              </w:rPr>
              <w:t>PS6</w:t>
            </w:r>
          </w:p>
        </w:tc>
        <w:tc>
          <w:tcPr>
            <w:tcW w:w="962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186E1CF4" w14:textId="155C417E" w:rsidR="00525EC4" w:rsidRDefault="00525EC4" w:rsidP="00525EC4">
            <w:pPr>
              <w:autoSpaceDE w:val="0"/>
              <w:autoSpaceDN w:val="0"/>
              <w:adjustRightInd w:val="0"/>
              <w:spacing w:before="60" w:after="60"/>
              <w:contextualSpacing/>
              <w:rPr>
                <w:rFonts w:ascii="Calibri" w:hAnsi="Calibri" w:cs="Calibri"/>
                <w:color w:val="000000"/>
              </w:rPr>
            </w:pPr>
            <w:r>
              <w:rPr>
                <w:rFonts w:ascii="Calibri" w:hAnsi="Calibri" w:cs="Calibri"/>
                <w:color w:val="000000"/>
              </w:rPr>
              <w:t>Redox Reactions: Calculate oxidation numbers in compounds and ions, describe redox processes in terms of electron transfer and oxidation number, and use changes in oxidation numbers to help balance equations</w:t>
            </w:r>
          </w:p>
        </w:tc>
      </w:tr>
      <w:tr w:rsidR="00525EC4" w14:paraId="779CBF80" w14:textId="77777777" w:rsidTr="0071456B">
        <w:tc>
          <w:tcPr>
            <w:tcW w:w="1170" w:type="dxa"/>
            <w:tcBorders>
              <w:top w:val="single" w:sz="8" w:space="0" w:color="BFBFBF" w:themeColor="background1" w:themeShade="BF"/>
              <w:bottom w:val="single" w:sz="8" w:space="0" w:color="BFBFBF" w:themeColor="background1" w:themeShade="BF"/>
            </w:tcBorders>
            <w:shd w:val="clear" w:color="auto" w:fill="auto"/>
            <w:vAlign w:val="center"/>
          </w:tcPr>
          <w:p w14:paraId="4C17ED81" w14:textId="2FD28A54" w:rsidR="00525EC4" w:rsidRDefault="0071456B" w:rsidP="00525EC4">
            <w:pPr>
              <w:spacing w:before="60" w:after="60"/>
              <w:contextualSpacing/>
              <w:rPr>
                <w:rFonts w:cstheme="minorHAnsi"/>
              </w:rPr>
            </w:pPr>
            <w:r>
              <w:rPr>
                <w:rFonts w:ascii="Calibri" w:hAnsi="Calibri" w:cs="Calibri"/>
                <w:color w:val="000000"/>
              </w:rPr>
              <w:t>PS7</w:t>
            </w:r>
          </w:p>
        </w:tc>
        <w:tc>
          <w:tcPr>
            <w:tcW w:w="962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4CFF423B" w14:textId="585E2C33" w:rsidR="00525EC4" w:rsidRDefault="00525EC4" w:rsidP="00525EC4">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Equilibria: Explain that chemical reactions are </w:t>
            </w:r>
            <w:proofErr w:type="gramStart"/>
            <w:r>
              <w:rPr>
                <w:rFonts w:ascii="Calibri" w:hAnsi="Calibri" w:cs="Calibri"/>
                <w:color w:val="000000"/>
              </w:rPr>
              <w:t>reversible, and</w:t>
            </w:r>
            <w:proofErr w:type="gramEnd"/>
            <w:r>
              <w:rPr>
                <w:rFonts w:ascii="Calibri" w:hAnsi="Calibri" w:cs="Calibri"/>
                <w:color w:val="000000"/>
              </w:rPr>
              <w:t xml:space="preserve"> involve an equilibrium process. Identify and explain changes in factors that can affect an equilibrium.</w:t>
            </w:r>
          </w:p>
        </w:tc>
      </w:tr>
      <w:tr w:rsidR="00525EC4" w14:paraId="00DE1C14" w14:textId="77777777" w:rsidTr="0071456B">
        <w:tc>
          <w:tcPr>
            <w:tcW w:w="1170" w:type="dxa"/>
            <w:tcBorders>
              <w:top w:val="single" w:sz="8" w:space="0" w:color="BFBFBF" w:themeColor="background1" w:themeShade="BF"/>
              <w:bottom w:val="single" w:sz="8" w:space="0" w:color="BFBFBF" w:themeColor="background1" w:themeShade="BF"/>
            </w:tcBorders>
            <w:shd w:val="clear" w:color="auto" w:fill="auto"/>
            <w:vAlign w:val="center"/>
          </w:tcPr>
          <w:p w14:paraId="58601DE6" w14:textId="28F9390A" w:rsidR="00525EC4" w:rsidRDefault="0071456B" w:rsidP="00525EC4">
            <w:pPr>
              <w:spacing w:before="60" w:after="60"/>
              <w:contextualSpacing/>
              <w:rPr>
                <w:rFonts w:cstheme="minorHAnsi"/>
              </w:rPr>
            </w:pPr>
            <w:r>
              <w:rPr>
                <w:rFonts w:ascii="Calibri" w:hAnsi="Calibri" w:cs="Calibri"/>
                <w:color w:val="000000"/>
              </w:rPr>
              <w:t>PS8</w:t>
            </w:r>
          </w:p>
        </w:tc>
        <w:tc>
          <w:tcPr>
            <w:tcW w:w="962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7A67F2E4" w14:textId="36DBCAA0" w:rsidR="00525EC4" w:rsidRDefault="00525EC4" w:rsidP="00525EC4">
            <w:pPr>
              <w:autoSpaceDE w:val="0"/>
              <w:autoSpaceDN w:val="0"/>
              <w:adjustRightInd w:val="0"/>
              <w:spacing w:before="60" w:after="60"/>
              <w:contextualSpacing/>
              <w:rPr>
                <w:rFonts w:ascii="Calibri" w:hAnsi="Calibri" w:cs="Calibri"/>
                <w:color w:val="000000"/>
              </w:rPr>
            </w:pPr>
            <w:r>
              <w:rPr>
                <w:rFonts w:ascii="Calibri" w:hAnsi="Calibri" w:cs="Calibri"/>
                <w:color w:val="000000"/>
              </w:rPr>
              <w:t>Reaction Kinetics: Explain qualitatively in terms of concentration, changes on the rate of reaction as affected by temperature and concentration, using the term activation energy</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75D32AD8" w:rsidR="00334ABD" w:rsidRPr="00525EC4" w:rsidRDefault="00525EC4" w:rsidP="00D24DF5">
            <w:pPr>
              <w:rPr>
                <w:rFonts w:ascii="Calibri" w:hAnsi="Calibri" w:cs="Calibri"/>
                <w:i/>
                <w:color w:val="000000"/>
              </w:rPr>
            </w:pPr>
            <w:r w:rsidRPr="00525EC4">
              <w:rPr>
                <w:rFonts w:ascii="Calibri" w:hAnsi="Calibri" w:cs="Calibri"/>
                <w:i/>
                <w:color w:val="000000"/>
              </w:rPr>
              <w:t>Inorganic Chemistry</w:t>
            </w:r>
          </w:p>
        </w:tc>
      </w:tr>
      <w:tr w:rsidR="00525EC4" w14:paraId="28115A43" w14:textId="77777777" w:rsidTr="0071456B">
        <w:tc>
          <w:tcPr>
            <w:tcW w:w="1170" w:type="dxa"/>
            <w:tcBorders>
              <w:top w:val="single" w:sz="8" w:space="0" w:color="404040" w:themeColor="text1" w:themeTint="BF"/>
            </w:tcBorders>
            <w:shd w:val="clear" w:color="auto" w:fill="auto"/>
            <w:vAlign w:val="center"/>
          </w:tcPr>
          <w:p w14:paraId="4305F9C9" w14:textId="2983D9C5" w:rsidR="00525EC4" w:rsidRPr="00990599" w:rsidRDefault="0071456B" w:rsidP="00525EC4">
            <w:pPr>
              <w:spacing w:before="60" w:after="60"/>
              <w:contextualSpacing/>
              <w:rPr>
                <w:rFonts w:cstheme="minorHAnsi"/>
              </w:rPr>
            </w:pPr>
            <w:r>
              <w:rPr>
                <w:rFonts w:ascii="Calibri" w:hAnsi="Calibri" w:cs="Calibri"/>
                <w:color w:val="000000"/>
              </w:rPr>
              <w:t>PS9</w:t>
            </w:r>
          </w:p>
        </w:tc>
        <w:tc>
          <w:tcPr>
            <w:tcW w:w="9620" w:type="dxa"/>
            <w:gridSpan w:val="2"/>
            <w:tcBorders>
              <w:top w:val="single" w:sz="8" w:space="0" w:color="404040" w:themeColor="text1" w:themeTint="BF"/>
            </w:tcBorders>
            <w:shd w:val="clear" w:color="auto" w:fill="auto"/>
            <w:vAlign w:val="bottom"/>
          </w:tcPr>
          <w:p w14:paraId="574C6025" w14:textId="6B0219E3" w:rsidR="00525EC4" w:rsidRPr="00D34BC5" w:rsidRDefault="00525EC4" w:rsidP="00525EC4">
            <w:pPr>
              <w:autoSpaceDE w:val="0"/>
              <w:autoSpaceDN w:val="0"/>
              <w:adjustRightInd w:val="0"/>
              <w:spacing w:before="60" w:after="60"/>
              <w:contextualSpacing/>
              <w:rPr>
                <w:rFonts w:cstheme="minorHAnsi"/>
                <w:noProof/>
              </w:rPr>
            </w:pPr>
            <w:r>
              <w:rPr>
                <w:rFonts w:ascii="Calibri" w:hAnsi="Calibri" w:cs="Calibri"/>
                <w:color w:val="000000"/>
              </w:rPr>
              <w:t>Chemical Periodicity: Describe the periodicity of chemical and physical properties of elements in period 3</w:t>
            </w:r>
          </w:p>
        </w:tc>
      </w:tr>
      <w:tr w:rsidR="00525EC4" w14:paraId="32738EC8" w14:textId="77777777" w:rsidTr="0071456B">
        <w:tc>
          <w:tcPr>
            <w:tcW w:w="1170" w:type="dxa"/>
            <w:shd w:val="clear" w:color="auto" w:fill="auto"/>
            <w:vAlign w:val="center"/>
          </w:tcPr>
          <w:p w14:paraId="3CC0889E" w14:textId="205F1883" w:rsidR="00525EC4" w:rsidRPr="00990599" w:rsidRDefault="0071456B" w:rsidP="00525EC4">
            <w:pPr>
              <w:spacing w:before="60" w:after="60"/>
              <w:contextualSpacing/>
              <w:rPr>
                <w:rFonts w:cstheme="minorHAnsi"/>
              </w:rPr>
            </w:pPr>
            <w:r>
              <w:rPr>
                <w:rFonts w:ascii="Calibri" w:hAnsi="Calibri" w:cs="Calibri"/>
                <w:color w:val="000000"/>
              </w:rPr>
              <w:t>PS10</w:t>
            </w:r>
          </w:p>
        </w:tc>
        <w:tc>
          <w:tcPr>
            <w:tcW w:w="9620" w:type="dxa"/>
            <w:gridSpan w:val="2"/>
            <w:shd w:val="clear" w:color="auto" w:fill="auto"/>
            <w:vAlign w:val="bottom"/>
          </w:tcPr>
          <w:p w14:paraId="4145EBCA" w14:textId="0860C445" w:rsidR="00525EC4" w:rsidRPr="00D34BC5" w:rsidRDefault="00525EC4" w:rsidP="00525EC4">
            <w:pPr>
              <w:autoSpaceDE w:val="0"/>
              <w:autoSpaceDN w:val="0"/>
              <w:adjustRightInd w:val="0"/>
              <w:spacing w:before="60" w:after="60"/>
              <w:contextualSpacing/>
              <w:rPr>
                <w:rFonts w:cstheme="minorHAnsi"/>
                <w:noProof/>
              </w:rPr>
            </w:pPr>
            <w:r>
              <w:rPr>
                <w:rFonts w:ascii="Calibri" w:hAnsi="Calibri" w:cs="Calibri"/>
                <w:color w:val="000000"/>
              </w:rPr>
              <w:t>Group 2: Describe the similarities and trends in the properties of the group 2 metals and their compounds</w:t>
            </w:r>
          </w:p>
        </w:tc>
      </w:tr>
      <w:tr w:rsidR="00525EC4" w14:paraId="29ED1374" w14:textId="77777777" w:rsidTr="0071456B">
        <w:tc>
          <w:tcPr>
            <w:tcW w:w="1170" w:type="dxa"/>
            <w:shd w:val="clear" w:color="auto" w:fill="auto"/>
            <w:vAlign w:val="center"/>
          </w:tcPr>
          <w:p w14:paraId="2A692E9F" w14:textId="1453A978" w:rsidR="00525EC4" w:rsidRDefault="0071456B" w:rsidP="00525EC4">
            <w:pPr>
              <w:spacing w:before="60" w:after="60"/>
              <w:contextualSpacing/>
              <w:rPr>
                <w:rFonts w:cstheme="minorHAnsi"/>
              </w:rPr>
            </w:pPr>
            <w:r>
              <w:rPr>
                <w:rFonts w:ascii="Calibri" w:hAnsi="Calibri" w:cs="Calibri"/>
                <w:color w:val="000000"/>
              </w:rPr>
              <w:t>PS11</w:t>
            </w:r>
          </w:p>
        </w:tc>
        <w:tc>
          <w:tcPr>
            <w:tcW w:w="9620" w:type="dxa"/>
            <w:gridSpan w:val="2"/>
            <w:shd w:val="clear" w:color="auto" w:fill="auto"/>
            <w:vAlign w:val="bottom"/>
          </w:tcPr>
          <w:p w14:paraId="202E43D5" w14:textId="1B472B45" w:rsidR="00525EC4" w:rsidRDefault="00525EC4" w:rsidP="00525EC4">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Group 17: Describe the physical and chemical properties of the elements in group 17 along with their hydrides, and the reactions of chlorine with aqueous sodium </w:t>
            </w:r>
            <w:proofErr w:type="spellStart"/>
            <w:r>
              <w:rPr>
                <w:rFonts w:ascii="Calibri" w:hAnsi="Calibri" w:cs="Calibri"/>
                <w:color w:val="000000"/>
              </w:rPr>
              <w:t>hydroxde</w:t>
            </w:r>
            <w:proofErr w:type="spellEnd"/>
          </w:p>
        </w:tc>
      </w:tr>
      <w:tr w:rsidR="00525EC4" w14:paraId="1DEBA0CC" w14:textId="77777777" w:rsidTr="0071456B">
        <w:tc>
          <w:tcPr>
            <w:tcW w:w="1170" w:type="dxa"/>
            <w:shd w:val="clear" w:color="auto" w:fill="auto"/>
            <w:vAlign w:val="center"/>
          </w:tcPr>
          <w:p w14:paraId="4621E0F8" w14:textId="5A17CECF" w:rsidR="00525EC4" w:rsidRDefault="0071456B" w:rsidP="00525EC4">
            <w:pPr>
              <w:spacing w:before="60" w:after="60"/>
              <w:contextualSpacing/>
              <w:rPr>
                <w:rFonts w:cstheme="minorHAnsi"/>
              </w:rPr>
            </w:pPr>
            <w:r>
              <w:rPr>
                <w:rFonts w:ascii="Calibri" w:hAnsi="Calibri" w:cs="Calibri"/>
                <w:color w:val="000000"/>
              </w:rPr>
              <w:t>PS12</w:t>
            </w:r>
          </w:p>
        </w:tc>
        <w:tc>
          <w:tcPr>
            <w:tcW w:w="9620" w:type="dxa"/>
            <w:gridSpan w:val="2"/>
            <w:shd w:val="clear" w:color="auto" w:fill="auto"/>
            <w:vAlign w:val="bottom"/>
          </w:tcPr>
          <w:p w14:paraId="1CC0723F" w14:textId="5688D31C" w:rsidR="00525EC4" w:rsidRDefault="00525EC4" w:rsidP="00525EC4">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Nitrogen and Sulfur: Describe the uses of nitrogen and sulfur in the Haber and Contact processes, and describe the structure of nitrogen and explain </w:t>
            </w:r>
            <w:proofErr w:type="spellStart"/>
            <w:proofErr w:type="gramStart"/>
            <w:r>
              <w:rPr>
                <w:rFonts w:ascii="Calibri" w:hAnsi="Calibri" w:cs="Calibri"/>
                <w:color w:val="000000"/>
              </w:rPr>
              <w:t>it’s</w:t>
            </w:r>
            <w:proofErr w:type="spellEnd"/>
            <w:proofErr w:type="gramEnd"/>
            <w:r>
              <w:rPr>
                <w:rFonts w:ascii="Calibri" w:hAnsi="Calibri" w:cs="Calibri"/>
                <w:color w:val="000000"/>
              </w:rPr>
              <w:t xml:space="preserve"> reactivity</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527E04E1" w:rsidR="00D03B3F" w:rsidRPr="005678F9" w:rsidRDefault="005678F9" w:rsidP="00185E41">
            <w:pPr>
              <w:rPr>
                <w:rFonts w:ascii="Calibri" w:hAnsi="Calibri" w:cs="Calibri"/>
                <w:i/>
                <w:color w:val="000000"/>
              </w:rPr>
            </w:pPr>
            <w:r w:rsidRPr="005678F9">
              <w:rPr>
                <w:rFonts w:ascii="Calibri" w:hAnsi="Calibri" w:cs="Calibri"/>
                <w:i/>
                <w:color w:val="000000"/>
              </w:rPr>
              <w:t>Introductory Organic Chemistry</w:t>
            </w:r>
          </w:p>
        </w:tc>
      </w:tr>
      <w:tr w:rsidR="005678F9" w14:paraId="49920F93" w14:textId="77777777" w:rsidTr="0071456B">
        <w:tc>
          <w:tcPr>
            <w:tcW w:w="1170" w:type="dxa"/>
            <w:tcBorders>
              <w:top w:val="single" w:sz="8" w:space="0" w:color="404040" w:themeColor="text1" w:themeTint="BF"/>
            </w:tcBorders>
            <w:shd w:val="clear" w:color="auto" w:fill="auto"/>
            <w:vAlign w:val="center"/>
          </w:tcPr>
          <w:p w14:paraId="20675393" w14:textId="0802B8F2" w:rsidR="005678F9" w:rsidRPr="00990599" w:rsidRDefault="0071456B" w:rsidP="005678F9">
            <w:pPr>
              <w:spacing w:before="60" w:after="60"/>
              <w:contextualSpacing/>
              <w:rPr>
                <w:rFonts w:cstheme="minorHAnsi"/>
              </w:rPr>
            </w:pPr>
            <w:r>
              <w:rPr>
                <w:rFonts w:ascii="Calibri" w:hAnsi="Calibri" w:cs="Calibri"/>
                <w:color w:val="000000"/>
              </w:rPr>
              <w:t>PS13</w:t>
            </w:r>
          </w:p>
        </w:tc>
        <w:tc>
          <w:tcPr>
            <w:tcW w:w="9620" w:type="dxa"/>
            <w:gridSpan w:val="2"/>
            <w:tcBorders>
              <w:top w:val="single" w:sz="8" w:space="0" w:color="404040" w:themeColor="text1" w:themeTint="BF"/>
            </w:tcBorders>
            <w:shd w:val="clear" w:color="auto" w:fill="auto"/>
            <w:vAlign w:val="bottom"/>
          </w:tcPr>
          <w:p w14:paraId="36FE01A6" w14:textId="138F4DE3" w:rsidR="005678F9" w:rsidRPr="00941F7E" w:rsidRDefault="005678F9" w:rsidP="005678F9">
            <w:pPr>
              <w:autoSpaceDE w:val="0"/>
              <w:autoSpaceDN w:val="0"/>
              <w:adjustRightInd w:val="0"/>
              <w:spacing w:before="60" w:after="60"/>
              <w:contextualSpacing/>
              <w:rPr>
                <w:rFonts w:cstheme="minorHAnsi"/>
                <w:noProof/>
              </w:rPr>
            </w:pPr>
            <w:r>
              <w:rPr>
                <w:rFonts w:ascii="Calibri" w:hAnsi="Calibri" w:cs="Calibri"/>
                <w:color w:val="000000"/>
              </w:rPr>
              <w:t>Introduction to Organic Chemistry: apply naming conventions of organic molecules, organic reaction terminology, and be able to draw organic molecules</w:t>
            </w:r>
          </w:p>
        </w:tc>
      </w:tr>
      <w:tr w:rsidR="005678F9" w14:paraId="6A7FF2D7" w14:textId="77777777" w:rsidTr="0071456B">
        <w:tc>
          <w:tcPr>
            <w:tcW w:w="1170" w:type="dxa"/>
            <w:shd w:val="clear" w:color="auto" w:fill="auto"/>
            <w:vAlign w:val="center"/>
          </w:tcPr>
          <w:p w14:paraId="036C652E" w14:textId="725CD004" w:rsidR="005678F9" w:rsidRPr="00990599" w:rsidRDefault="0071456B" w:rsidP="005678F9">
            <w:pPr>
              <w:spacing w:before="60" w:after="60"/>
              <w:contextualSpacing/>
              <w:rPr>
                <w:rFonts w:cstheme="minorHAnsi"/>
              </w:rPr>
            </w:pPr>
            <w:r>
              <w:rPr>
                <w:rFonts w:ascii="Calibri" w:hAnsi="Calibri" w:cs="Calibri"/>
                <w:color w:val="000000"/>
              </w:rPr>
              <w:t>PS14</w:t>
            </w:r>
          </w:p>
        </w:tc>
        <w:tc>
          <w:tcPr>
            <w:tcW w:w="9620" w:type="dxa"/>
            <w:gridSpan w:val="2"/>
            <w:shd w:val="clear" w:color="auto" w:fill="auto"/>
            <w:vAlign w:val="bottom"/>
          </w:tcPr>
          <w:p w14:paraId="707242F7" w14:textId="60D6939B" w:rsidR="005678F9" w:rsidRPr="00941F7E" w:rsidRDefault="005678F9" w:rsidP="005678F9">
            <w:pPr>
              <w:autoSpaceDE w:val="0"/>
              <w:autoSpaceDN w:val="0"/>
              <w:adjustRightInd w:val="0"/>
              <w:spacing w:before="60" w:after="60"/>
              <w:contextualSpacing/>
              <w:rPr>
                <w:rFonts w:cstheme="minorHAnsi"/>
                <w:noProof/>
              </w:rPr>
            </w:pPr>
            <w:r>
              <w:rPr>
                <w:rFonts w:ascii="Calibri" w:hAnsi="Calibri" w:cs="Calibri"/>
                <w:color w:val="000000"/>
              </w:rPr>
              <w:t xml:space="preserve">Hydrocarbons: name and draw structures of saturated and unsaturated hydrocarbons, explain how they can be synthesized </w:t>
            </w:r>
            <w:proofErr w:type="gramStart"/>
            <w:r>
              <w:rPr>
                <w:rFonts w:ascii="Calibri" w:hAnsi="Calibri" w:cs="Calibri"/>
                <w:color w:val="000000"/>
              </w:rPr>
              <w:t>and also</w:t>
            </w:r>
            <w:proofErr w:type="gramEnd"/>
            <w:r>
              <w:rPr>
                <w:rFonts w:ascii="Calibri" w:hAnsi="Calibri" w:cs="Calibri"/>
                <w:color w:val="000000"/>
              </w:rPr>
              <w:t xml:space="preserve"> what substances that can be synthesized using them.</w:t>
            </w:r>
          </w:p>
        </w:tc>
      </w:tr>
      <w:tr w:rsidR="005678F9" w14:paraId="0B8DBE75" w14:textId="77777777" w:rsidTr="0071456B">
        <w:tc>
          <w:tcPr>
            <w:tcW w:w="1170" w:type="dxa"/>
            <w:tcBorders>
              <w:bottom w:val="single" w:sz="4" w:space="0" w:color="auto"/>
            </w:tcBorders>
            <w:shd w:val="clear" w:color="auto" w:fill="auto"/>
            <w:vAlign w:val="center"/>
          </w:tcPr>
          <w:p w14:paraId="0352C987" w14:textId="5F60B65A" w:rsidR="005678F9" w:rsidRDefault="0071456B" w:rsidP="005678F9">
            <w:pPr>
              <w:spacing w:before="60" w:after="60"/>
              <w:contextualSpacing/>
              <w:rPr>
                <w:rFonts w:cstheme="minorHAnsi"/>
              </w:rPr>
            </w:pPr>
            <w:r>
              <w:rPr>
                <w:rFonts w:ascii="Calibri" w:hAnsi="Calibri" w:cs="Calibri"/>
                <w:color w:val="000000"/>
              </w:rPr>
              <w:t>PS15</w:t>
            </w:r>
          </w:p>
        </w:tc>
        <w:tc>
          <w:tcPr>
            <w:tcW w:w="9620" w:type="dxa"/>
            <w:gridSpan w:val="2"/>
            <w:tcBorders>
              <w:bottom w:val="single" w:sz="4" w:space="0" w:color="auto"/>
            </w:tcBorders>
            <w:shd w:val="clear" w:color="auto" w:fill="auto"/>
            <w:vAlign w:val="bottom"/>
          </w:tcPr>
          <w:p w14:paraId="1A09F877" w14:textId="172E1ECF" w:rsidR="005678F9" w:rsidRDefault="005678F9" w:rsidP="005678F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Halogen derivatives of hydrocarbons: Explain the reactivity of halogenoalkanes using bond length and </w:t>
            </w:r>
            <w:proofErr w:type="gramStart"/>
            <w:r>
              <w:rPr>
                <w:rFonts w:ascii="Calibri" w:hAnsi="Calibri" w:cs="Calibri"/>
                <w:color w:val="000000"/>
              </w:rPr>
              <w:t>strength, and</w:t>
            </w:r>
            <w:proofErr w:type="gramEnd"/>
            <w:r>
              <w:rPr>
                <w:rFonts w:ascii="Calibri" w:hAnsi="Calibri" w:cs="Calibri"/>
                <w:color w:val="000000"/>
              </w:rPr>
              <w:t xml:space="preserve"> write mechanisms for SN1 and SN2 using curly arrows.</w:t>
            </w:r>
          </w:p>
        </w:tc>
      </w:tr>
      <w:tr w:rsidR="005678F9" w14:paraId="50415F3A" w14:textId="77777777" w:rsidTr="005678F9">
        <w:tc>
          <w:tcPr>
            <w:tcW w:w="10790" w:type="dxa"/>
            <w:gridSpan w:val="3"/>
            <w:tcBorders>
              <w:top w:val="single" w:sz="4" w:space="0" w:color="auto"/>
              <w:bottom w:val="single" w:sz="4" w:space="0" w:color="auto"/>
            </w:tcBorders>
            <w:shd w:val="clear" w:color="auto" w:fill="99CCFF"/>
            <w:vAlign w:val="center"/>
          </w:tcPr>
          <w:p w14:paraId="31E8EFB9" w14:textId="1CF010FE" w:rsidR="005678F9" w:rsidRPr="0054209D" w:rsidRDefault="0054209D" w:rsidP="0054209D">
            <w:pPr>
              <w:rPr>
                <w:rFonts w:ascii="Calibri" w:hAnsi="Calibri" w:cs="Calibri"/>
                <w:i/>
                <w:color w:val="000000"/>
              </w:rPr>
            </w:pPr>
            <w:r w:rsidRPr="0054209D">
              <w:rPr>
                <w:rFonts w:ascii="Calibri" w:hAnsi="Calibri" w:cs="Calibri"/>
                <w:i/>
                <w:color w:val="000000"/>
              </w:rPr>
              <w:t>Advanced Organic Chemistry</w:t>
            </w:r>
          </w:p>
        </w:tc>
      </w:tr>
      <w:tr w:rsidR="0054209D" w14:paraId="3933498F" w14:textId="77777777" w:rsidTr="0071456B">
        <w:tc>
          <w:tcPr>
            <w:tcW w:w="1170" w:type="dxa"/>
            <w:tcBorders>
              <w:top w:val="single" w:sz="4" w:space="0" w:color="auto"/>
            </w:tcBorders>
            <w:shd w:val="clear" w:color="auto" w:fill="auto"/>
            <w:vAlign w:val="center"/>
          </w:tcPr>
          <w:p w14:paraId="7EF11787" w14:textId="70B74D89" w:rsidR="0054209D" w:rsidRDefault="0071456B" w:rsidP="0054209D">
            <w:pPr>
              <w:spacing w:before="60" w:after="60"/>
              <w:contextualSpacing/>
              <w:rPr>
                <w:rFonts w:cstheme="minorHAnsi"/>
              </w:rPr>
            </w:pPr>
            <w:r>
              <w:rPr>
                <w:rFonts w:ascii="Calibri" w:hAnsi="Calibri" w:cs="Calibri"/>
                <w:color w:val="000000"/>
              </w:rPr>
              <w:t>PS16</w:t>
            </w:r>
          </w:p>
        </w:tc>
        <w:tc>
          <w:tcPr>
            <w:tcW w:w="9620" w:type="dxa"/>
            <w:gridSpan w:val="2"/>
            <w:tcBorders>
              <w:top w:val="single" w:sz="4" w:space="0" w:color="auto"/>
            </w:tcBorders>
            <w:shd w:val="clear" w:color="auto" w:fill="auto"/>
            <w:vAlign w:val="bottom"/>
          </w:tcPr>
          <w:p w14:paraId="0220A3A9" w14:textId="25D17D0E" w:rsidR="0054209D" w:rsidRDefault="0054209D" w:rsidP="0054209D">
            <w:pPr>
              <w:autoSpaceDE w:val="0"/>
              <w:autoSpaceDN w:val="0"/>
              <w:adjustRightInd w:val="0"/>
              <w:spacing w:before="60" w:after="60"/>
              <w:contextualSpacing/>
              <w:rPr>
                <w:rFonts w:ascii="Calibri" w:hAnsi="Calibri" w:cs="Calibri"/>
                <w:color w:val="000000"/>
              </w:rPr>
            </w:pPr>
            <w:r>
              <w:rPr>
                <w:rFonts w:ascii="Calibri" w:hAnsi="Calibri" w:cs="Calibri"/>
                <w:color w:val="000000"/>
              </w:rPr>
              <w:t>Hydroxy Compounds: Explain reactions that can be used to synthesize alcohols, as well as what alcohols can be used to synthesize. Identify methods of identifying alcohols qualitatively.</w:t>
            </w:r>
          </w:p>
        </w:tc>
      </w:tr>
      <w:tr w:rsidR="0054209D" w14:paraId="32A2F442" w14:textId="77777777" w:rsidTr="0071456B">
        <w:tc>
          <w:tcPr>
            <w:tcW w:w="1170" w:type="dxa"/>
            <w:shd w:val="clear" w:color="auto" w:fill="auto"/>
            <w:vAlign w:val="center"/>
          </w:tcPr>
          <w:p w14:paraId="754400E2" w14:textId="7C0E031E" w:rsidR="0054209D" w:rsidRDefault="0071456B" w:rsidP="0054209D">
            <w:pPr>
              <w:spacing w:before="60" w:after="60"/>
              <w:contextualSpacing/>
              <w:rPr>
                <w:rFonts w:cstheme="minorHAnsi"/>
              </w:rPr>
            </w:pPr>
            <w:r>
              <w:rPr>
                <w:rFonts w:ascii="Calibri" w:hAnsi="Calibri" w:cs="Calibri"/>
                <w:color w:val="000000"/>
              </w:rPr>
              <w:t>PS17</w:t>
            </w:r>
          </w:p>
        </w:tc>
        <w:tc>
          <w:tcPr>
            <w:tcW w:w="9620" w:type="dxa"/>
            <w:gridSpan w:val="2"/>
            <w:shd w:val="clear" w:color="auto" w:fill="auto"/>
            <w:vAlign w:val="bottom"/>
          </w:tcPr>
          <w:p w14:paraId="4CE2C4C1" w14:textId="30B3C80A" w:rsidR="0054209D" w:rsidRDefault="0054209D" w:rsidP="0054209D">
            <w:pPr>
              <w:autoSpaceDE w:val="0"/>
              <w:autoSpaceDN w:val="0"/>
              <w:adjustRightInd w:val="0"/>
              <w:spacing w:before="60" w:after="60"/>
              <w:contextualSpacing/>
              <w:rPr>
                <w:rFonts w:ascii="Calibri" w:hAnsi="Calibri" w:cs="Calibri"/>
                <w:color w:val="000000"/>
              </w:rPr>
            </w:pPr>
            <w:r>
              <w:rPr>
                <w:rFonts w:ascii="Calibri" w:hAnsi="Calibri" w:cs="Calibri"/>
                <w:color w:val="000000"/>
              </w:rPr>
              <w:t>Carbonyl Compounds: Explain reactions that can be used to synthesize carbonyl compounds, as well as what they can be used to synthesize. Identify methods of identifying carbonyl compounds qualitatively.</w:t>
            </w:r>
          </w:p>
        </w:tc>
      </w:tr>
      <w:tr w:rsidR="0054209D" w14:paraId="4748AF01" w14:textId="77777777" w:rsidTr="0071456B">
        <w:tc>
          <w:tcPr>
            <w:tcW w:w="1170" w:type="dxa"/>
            <w:shd w:val="clear" w:color="auto" w:fill="auto"/>
            <w:vAlign w:val="center"/>
          </w:tcPr>
          <w:p w14:paraId="2016EDF5" w14:textId="5FCDB399" w:rsidR="0054209D" w:rsidRDefault="0071456B" w:rsidP="0054209D">
            <w:pPr>
              <w:spacing w:before="60" w:after="60"/>
              <w:contextualSpacing/>
              <w:rPr>
                <w:rFonts w:cstheme="minorHAnsi"/>
              </w:rPr>
            </w:pPr>
            <w:r>
              <w:rPr>
                <w:rFonts w:ascii="Calibri" w:hAnsi="Calibri" w:cs="Calibri"/>
                <w:color w:val="000000"/>
              </w:rPr>
              <w:t>PS18</w:t>
            </w:r>
          </w:p>
        </w:tc>
        <w:tc>
          <w:tcPr>
            <w:tcW w:w="9620" w:type="dxa"/>
            <w:gridSpan w:val="2"/>
            <w:shd w:val="clear" w:color="auto" w:fill="auto"/>
            <w:vAlign w:val="bottom"/>
          </w:tcPr>
          <w:p w14:paraId="2AB39ADC" w14:textId="5EE3AF6C" w:rsidR="0054209D" w:rsidRDefault="0054209D" w:rsidP="0054209D">
            <w:pPr>
              <w:autoSpaceDE w:val="0"/>
              <w:autoSpaceDN w:val="0"/>
              <w:adjustRightInd w:val="0"/>
              <w:spacing w:before="60" w:after="60"/>
              <w:contextualSpacing/>
              <w:rPr>
                <w:rFonts w:ascii="Calibri" w:hAnsi="Calibri" w:cs="Calibri"/>
                <w:color w:val="000000"/>
              </w:rPr>
            </w:pPr>
            <w:r>
              <w:rPr>
                <w:rFonts w:ascii="Calibri" w:hAnsi="Calibri" w:cs="Calibri"/>
                <w:color w:val="000000"/>
              </w:rPr>
              <w:t>Carboxylic Acids and Derivatives: Explain reactions that can be used to synthesize carboxylic acids and esters, as well as what they each can be used to synthesize.</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49FA2568" w:rsidR="009817AF" w:rsidRPr="009D20CE" w:rsidRDefault="009D20CE" w:rsidP="00F20A78">
            <w:pPr>
              <w:rPr>
                <w:rFonts w:ascii="Calibri" w:hAnsi="Calibri" w:cs="Calibri"/>
                <w:i/>
                <w:color w:val="000000"/>
              </w:rPr>
            </w:pPr>
            <w:r w:rsidRPr="009D20CE">
              <w:rPr>
                <w:rFonts w:ascii="Calibri" w:hAnsi="Calibri" w:cs="Calibri"/>
                <w:i/>
                <w:color w:val="000000"/>
              </w:rPr>
              <w:t>Analytical Techniques and Scientific Literacy</w:t>
            </w:r>
          </w:p>
        </w:tc>
      </w:tr>
      <w:tr w:rsidR="009D20CE" w:rsidRPr="00941F7E" w14:paraId="46FF9A79" w14:textId="77777777" w:rsidTr="0071456B">
        <w:tc>
          <w:tcPr>
            <w:tcW w:w="1170" w:type="dxa"/>
            <w:tcBorders>
              <w:top w:val="single" w:sz="8" w:space="0" w:color="404040" w:themeColor="text1" w:themeTint="BF"/>
            </w:tcBorders>
            <w:shd w:val="clear" w:color="auto" w:fill="auto"/>
            <w:vAlign w:val="center"/>
          </w:tcPr>
          <w:p w14:paraId="43882566" w14:textId="30F4C0FB" w:rsidR="009D20CE" w:rsidRPr="00990599" w:rsidRDefault="0071456B" w:rsidP="009D20CE">
            <w:pPr>
              <w:spacing w:before="60" w:after="60"/>
              <w:contextualSpacing/>
              <w:rPr>
                <w:rFonts w:cstheme="minorHAnsi"/>
              </w:rPr>
            </w:pPr>
            <w:r>
              <w:rPr>
                <w:rFonts w:ascii="Calibri" w:hAnsi="Calibri" w:cs="Calibri"/>
                <w:color w:val="000000"/>
              </w:rPr>
              <w:t>PS19</w:t>
            </w:r>
          </w:p>
        </w:tc>
        <w:tc>
          <w:tcPr>
            <w:tcW w:w="9620" w:type="dxa"/>
            <w:gridSpan w:val="2"/>
            <w:tcBorders>
              <w:top w:val="single" w:sz="8" w:space="0" w:color="404040" w:themeColor="text1" w:themeTint="BF"/>
            </w:tcBorders>
            <w:shd w:val="clear" w:color="auto" w:fill="auto"/>
            <w:vAlign w:val="bottom"/>
          </w:tcPr>
          <w:p w14:paraId="590F9CCF" w14:textId="6A637FB6" w:rsidR="009D20CE" w:rsidRPr="00941F7E" w:rsidRDefault="009D20CE" w:rsidP="009D20CE">
            <w:pPr>
              <w:autoSpaceDE w:val="0"/>
              <w:autoSpaceDN w:val="0"/>
              <w:adjustRightInd w:val="0"/>
              <w:spacing w:before="60" w:after="60"/>
              <w:contextualSpacing/>
              <w:rPr>
                <w:rFonts w:cstheme="minorHAnsi"/>
                <w:noProof/>
              </w:rPr>
            </w:pPr>
            <w:r>
              <w:rPr>
                <w:rFonts w:ascii="Calibri" w:hAnsi="Calibri" w:cs="Calibri"/>
                <w:color w:val="000000"/>
              </w:rPr>
              <w:t>Analytical Techniques: Analyze an infrared spectrum of a simple molecule to identify functional groups using the Data Booklet.</w:t>
            </w:r>
          </w:p>
        </w:tc>
      </w:tr>
      <w:tr w:rsidR="009D20CE" w:rsidRPr="00941F7E" w14:paraId="16714C91" w14:textId="77777777" w:rsidTr="0071456B">
        <w:tc>
          <w:tcPr>
            <w:tcW w:w="1170" w:type="dxa"/>
            <w:shd w:val="clear" w:color="auto" w:fill="auto"/>
            <w:vAlign w:val="center"/>
          </w:tcPr>
          <w:p w14:paraId="56D5F5AA" w14:textId="6E85F0A2" w:rsidR="009D20CE" w:rsidRPr="00990599" w:rsidRDefault="0071456B" w:rsidP="009D20CE">
            <w:pPr>
              <w:spacing w:before="60" w:after="60"/>
              <w:contextualSpacing/>
              <w:rPr>
                <w:rFonts w:cstheme="minorHAnsi"/>
              </w:rPr>
            </w:pPr>
            <w:r>
              <w:rPr>
                <w:rFonts w:ascii="Calibri" w:hAnsi="Calibri" w:cs="Calibri"/>
                <w:color w:val="000000"/>
              </w:rPr>
              <w:t>PS20</w:t>
            </w:r>
          </w:p>
        </w:tc>
        <w:tc>
          <w:tcPr>
            <w:tcW w:w="9620" w:type="dxa"/>
            <w:gridSpan w:val="2"/>
            <w:shd w:val="clear" w:color="auto" w:fill="auto"/>
            <w:vAlign w:val="bottom"/>
          </w:tcPr>
          <w:p w14:paraId="693E4F33" w14:textId="6A9DEB2A" w:rsidR="009D20CE" w:rsidRPr="00941F7E" w:rsidRDefault="009D20CE" w:rsidP="009D20CE">
            <w:pPr>
              <w:autoSpaceDE w:val="0"/>
              <w:autoSpaceDN w:val="0"/>
              <w:adjustRightInd w:val="0"/>
              <w:spacing w:before="60" w:after="60"/>
              <w:contextualSpacing/>
              <w:rPr>
                <w:rFonts w:cstheme="minorHAnsi"/>
                <w:noProof/>
              </w:rPr>
            </w:pPr>
            <w:r>
              <w:rPr>
                <w:rFonts w:ascii="Calibri" w:hAnsi="Calibri" w:cs="Calibri"/>
                <w:color w:val="000000"/>
              </w:rPr>
              <w:t>Advanced Practical Skills: Carry out lab experiments to collect, record, and analyze data in a safe manner.</w:t>
            </w:r>
          </w:p>
        </w:tc>
      </w:tr>
      <w:tr w:rsidR="009D20CE" w14:paraId="7AA45C09" w14:textId="77777777" w:rsidTr="0071456B">
        <w:tc>
          <w:tcPr>
            <w:tcW w:w="1170" w:type="dxa"/>
            <w:shd w:val="clear" w:color="auto" w:fill="auto"/>
            <w:vAlign w:val="center"/>
          </w:tcPr>
          <w:p w14:paraId="139325E1" w14:textId="55A8EF72" w:rsidR="009D20CE" w:rsidRDefault="0071456B" w:rsidP="009D20CE">
            <w:pPr>
              <w:spacing w:before="60" w:after="60"/>
              <w:contextualSpacing/>
              <w:rPr>
                <w:rFonts w:cstheme="minorHAnsi"/>
              </w:rPr>
            </w:pPr>
            <w:r>
              <w:rPr>
                <w:rFonts w:ascii="Calibri" w:hAnsi="Calibri" w:cs="Calibri"/>
                <w:color w:val="000000"/>
              </w:rPr>
              <w:lastRenderedPageBreak/>
              <w:t>PS21</w:t>
            </w:r>
          </w:p>
        </w:tc>
        <w:tc>
          <w:tcPr>
            <w:tcW w:w="9620" w:type="dxa"/>
            <w:gridSpan w:val="2"/>
            <w:shd w:val="clear" w:color="auto" w:fill="auto"/>
            <w:vAlign w:val="bottom"/>
          </w:tcPr>
          <w:p w14:paraId="0F20DBFE" w14:textId="4C7C3FD0" w:rsidR="009D20CE" w:rsidRDefault="009D20CE" w:rsidP="009D20CE">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11-12.RST.1 Cite specific textual evidence to support analysis of science and technical texts, attending to important distinctions the author makes and to any gaps or inconsistencies in the account.</w:t>
            </w:r>
          </w:p>
        </w:tc>
      </w:tr>
      <w:tr w:rsidR="009D20CE" w14:paraId="6945723B" w14:textId="77777777" w:rsidTr="0071456B">
        <w:tc>
          <w:tcPr>
            <w:tcW w:w="1170" w:type="dxa"/>
            <w:shd w:val="clear" w:color="auto" w:fill="auto"/>
            <w:vAlign w:val="center"/>
          </w:tcPr>
          <w:p w14:paraId="0E6BD164" w14:textId="5C2A9079" w:rsidR="009D20CE" w:rsidRDefault="0071456B" w:rsidP="009D20CE">
            <w:pPr>
              <w:spacing w:before="60" w:after="60"/>
              <w:contextualSpacing/>
              <w:rPr>
                <w:rFonts w:cstheme="minorHAnsi"/>
              </w:rPr>
            </w:pPr>
            <w:r>
              <w:rPr>
                <w:rFonts w:ascii="Calibri" w:hAnsi="Calibri" w:cs="Calibri"/>
                <w:color w:val="000000"/>
              </w:rPr>
              <w:t>PS22</w:t>
            </w:r>
          </w:p>
        </w:tc>
        <w:tc>
          <w:tcPr>
            <w:tcW w:w="9620" w:type="dxa"/>
            <w:gridSpan w:val="2"/>
            <w:shd w:val="clear" w:color="auto" w:fill="auto"/>
            <w:vAlign w:val="bottom"/>
          </w:tcPr>
          <w:p w14:paraId="594C9037" w14:textId="0EF4B0AD" w:rsidR="009D20CE" w:rsidRDefault="009D20CE" w:rsidP="009D20CE">
            <w:pPr>
              <w:autoSpaceDE w:val="0"/>
              <w:autoSpaceDN w:val="0"/>
              <w:adjustRightInd w:val="0"/>
              <w:spacing w:before="60" w:after="60"/>
              <w:contextualSpacing/>
              <w:rPr>
                <w:rFonts w:ascii="Calibri" w:hAnsi="Calibri" w:cs="Calibri"/>
                <w:color w:val="000000"/>
              </w:rPr>
            </w:pPr>
            <w:r>
              <w:rPr>
                <w:rFonts w:ascii="Calibri" w:hAnsi="Calibri" w:cs="Calibri"/>
                <w:color w:val="000000"/>
              </w:rPr>
              <w:t>11-12.RST.2 Determine the central ideas or conclusions of a text; summarize complex concepts, processes, or information presented in a text by paraphrasing them in simpler but still accurate terms.</w:t>
            </w:r>
          </w:p>
        </w:tc>
      </w:tr>
      <w:tr w:rsidR="009D20CE" w14:paraId="5229DEE3" w14:textId="77777777" w:rsidTr="0071456B">
        <w:tc>
          <w:tcPr>
            <w:tcW w:w="1170" w:type="dxa"/>
            <w:shd w:val="clear" w:color="auto" w:fill="auto"/>
            <w:vAlign w:val="center"/>
          </w:tcPr>
          <w:p w14:paraId="283C42FD" w14:textId="08473634" w:rsidR="009D20CE" w:rsidRDefault="0071456B" w:rsidP="009D20CE">
            <w:pPr>
              <w:spacing w:before="60" w:after="60"/>
              <w:contextualSpacing/>
              <w:rPr>
                <w:rFonts w:cstheme="minorHAnsi"/>
              </w:rPr>
            </w:pPr>
            <w:r>
              <w:rPr>
                <w:rFonts w:ascii="Calibri" w:hAnsi="Calibri" w:cs="Calibri"/>
                <w:color w:val="000000"/>
              </w:rPr>
              <w:t>PS23</w:t>
            </w:r>
          </w:p>
        </w:tc>
        <w:tc>
          <w:tcPr>
            <w:tcW w:w="9620" w:type="dxa"/>
            <w:gridSpan w:val="2"/>
            <w:shd w:val="clear" w:color="auto" w:fill="auto"/>
            <w:vAlign w:val="center"/>
          </w:tcPr>
          <w:p w14:paraId="2AE2998F" w14:textId="42C485A0" w:rsidR="009D20CE" w:rsidRDefault="009D20CE" w:rsidP="009D20CE">
            <w:pPr>
              <w:autoSpaceDE w:val="0"/>
              <w:autoSpaceDN w:val="0"/>
              <w:adjustRightInd w:val="0"/>
              <w:spacing w:before="60" w:after="60"/>
              <w:contextualSpacing/>
              <w:rPr>
                <w:rFonts w:ascii="Calibri" w:hAnsi="Calibri" w:cs="Calibri"/>
                <w:color w:val="000000"/>
              </w:rPr>
            </w:pPr>
            <w:r>
              <w:rPr>
                <w:rFonts w:ascii="Calibri" w:hAnsi="Calibri" w:cs="Calibri"/>
                <w:color w:val="000000"/>
              </w:rPr>
              <w:t>11-12.RST.3: Follow precisely a complex multistep procedure when carrying out experiments, taking measurements, or performing technical tasks; analyze the specific results based on explanations in the text.</w:t>
            </w:r>
          </w:p>
        </w:tc>
      </w:tr>
      <w:tr w:rsidR="009D20CE" w14:paraId="314BBBFC" w14:textId="77777777" w:rsidTr="0071456B">
        <w:tc>
          <w:tcPr>
            <w:tcW w:w="1170" w:type="dxa"/>
            <w:shd w:val="clear" w:color="auto" w:fill="auto"/>
            <w:vAlign w:val="center"/>
          </w:tcPr>
          <w:p w14:paraId="019B9D1A" w14:textId="392A5C38" w:rsidR="009D20CE" w:rsidRDefault="0071456B" w:rsidP="009D20CE">
            <w:pPr>
              <w:spacing w:before="60" w:after="60"/>
              <w:contextualSpacing/>
              <w:rPr>
                <w:rFonts w:cstheme="minorHAnsi"/>
              </w:rPr>
            </w:pPr>
            <w:r>
              <w:rPr>
                <w:rFonts w:ascii="Calibri" w:hAnsi="Calibri" w:cs="Calibri"/>
                <w:color w:val="000000"/>
              </w:rPr>
              <w:t>PS24</w:t>
            </w:r>
          </w:p>
        </w:tc>
        <w:tc>
          <w:tcPr>
            <w:tcW w:w="9620" w:type="dxa"/>
            <w:gridSpan w:val="2"/>
            <w:shd w:val="clear" w:color="auto" w:fill="auto"/>
            <w:vAlign w:val="bottom"/>
          </w:tcPr>
          <w:p w14:paraId="49E6AB70" w14:textId="1696FB10" w:rsidR="009D20CE" w:rsidRDefault="009D20CE" w:rsidP="009D20CE">
            <w:pPr>
              <w:autoSpaceDE w:val="0"/>
              <w:autoSpaceDN w:val="0"/>
              <w:adjustRightInd w:val="0"/>
              <w:spacing w:before="60" w:after="60"/>
              <w:contextualSpacing/>
              <w:rPr>
                <w:rFonts w:ascii="Calibri" w:hAnsi="Calibri" w:cs="Calibri"/>
                <w:color w:val="000000"/>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.1 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Revised 08/25/2014 Page 4 evidence for each while pointing out the strengths and 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or supports the argument presented.</w:t>
            </w:r>
          </w:p>
        </w:tc>
      </w:tr>
      <w:tr w:rsidR="009D20CE" w14:paraId="16AEE5D7" w14:textId="77777777" w:rsidTr="0071456B">
        <w:tc>
          <w:tcPr>
            <w:tcW w:w="1170" w:type="dxa"/>
            <w:shd w:val="clear" w:color="auto" w:fill="auto"/>
            <w:vAlign w:val="center"/>
          </w:tcPr>
          <w:p w14:paraId="60408819" w14:textId="504EE144" w:rsidR="009D20CE" w:rsidRDefault="0071456B" w:rsidP="009D20CE">
            <w:pPr>
              <w:spacing w:before="60" w:after="60"/>
              <w:contextualSpacing/>
              <w:rPr>
                <w:rFonts w:cstheme="minorHAnsi"/>
              </w:rPr>
            </w:pPr>
            <w:r>
              <w:rPr>
                <w:rFonts w:ascii="Calibri" w:hAnsi="Calibri" w:cs="Calibri"/>
                <w:color w:val="000000"/>
              </w:rPr>
              <w:t>PS25</w:t>
            </w:r>
          </w:p>
        </w:tc>
        <w:tc>
          <w:tcPr>
            <w:tcW w:w="9620" w:type="dxa"/>
            <w:gridSpan w:val="2"/>
            <w:shd w:val="clear" w:color="auto" w:fill="auto"/>
            <w:vAlign w:val="bottom"/>
          </w:tcPr>
          <w:p w14:paraId="26B20678" w14:textId="76C3CAFA" w:rsidR="009D20CE" w:rsidRDefault="009D20CE" w:rsidP="009D20CE">
            <w:pPr>
              <w:autoSpaceDE w:val="0"/>
              <w:autoSpaceDN w:val="0"/>
              <w:adjustRightInd w:val="0"/>
              <w:spacing w:before="60" w:after="60"/>
              <w:contextualSpacing/>
              <w:rPr>
                <w:rFonts w:ascii="Calibri" w:hAnsi="Calibri" w:cs="Calibri"/>
                <w:color w:val="000000"/>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.4 Produce clear and coherent writing in which the development, organization, and style are appropriate to task, purpose, and audience.</w:t>
            </w:r>
          </w:p>
        </w:tc>
      </w:tr>
      <w:tr w:rsidR="009D20CE" w14:paraId="32934AAB" w14:textId="77777777" w:rsidTr="0071456B">
        <w:tc>
          <w:tcPr>
            <w:tcW w:w="1170" w:type="dxa"/>
            <w:shd w:val="clear" w:color="auto" w:fill="auto"/>
            <w:vAlign w:val="center"/>
          </w:tcPr>
          <w:p w14:paraId="740444AC" w14:textId="7A2DC163" w:rsidR="009D20CE" w:rsidRDefault="0071456B" w:rsidP="009D20CE">
            <w:pPr>
              <w:spacing w:before="60" w:after="60"/>
              <w:contextualSpacing/>
              <w:rPr>
                <w:rFonts w:cstheme="minorHAnsi"/>
              </w:rPr>
            </w:pPr>
            <w:r>
              <w:rPr>
                <w:rFonts w:ascii="Calibri" w:hAnsi="Calibri" w:cs="Calibri"/>
                <w:color w:val="000000"/>
              </w:rPr>
              <w:t>PS26</w:t>
            </w:r>
          </w:p>
        </w:tc>
        <w:tc>
          <w:tcPr>
            <w:tcW w:w="9620" w:type="dxa"/>
            <w:gridSpan w:val="2"/>
            <w:shd w:val="clear" w:color="auto" w:fill="auto"/>
            <w:vAlign w:val="bottom"/>
          </w:tcPr>
          <w:p w14:paraId="62CB76A4" w14:textId="024708EB" w:rsidR="009D20CE" w:rsidRDefault="009D20CE" w:rsidP="009D20CE">
            <w:pPr>
              <w:autoSpaceDE w:val="0"/>
              <w:autoSpaceDN w:val="0"/>
              <w:adjustRightInd w:val="0"/>
              <w:spacing w:before="60" w:after="60"/>
              <w:contextualSpacing/>
              <w:rPr>
                <w:rFonts w:ascii="Calibri" w:hAnsi="Calibri" w:cs="Calibri"/>
                <w:color w:val="000000"/>
              </w:rPr>
            </w:pPr>
            <w:r>
              <w:rPr>
                <w:rFonts w:ascii="Calibri" w:hAnsi="Calibri" w:cs="Calibri"/>
                <w:color w:val="000000"/>
              </w:rPr>
              <w:t>11-12.WHST.8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5FE47C90"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873C3A">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4D8A"/>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D399E"/>
    <w:rsid w:val="003D4829"/>
    <w:rsid w:val="003E380B"/>
    <w:rsid w:val="003F4865"/>
    <w:rsid w:val="00401CEC"/>
    <w:rsid w:val="00402F48"/>
    <w:rsid w:val="00413BDC"/>
    <w:rsid w:val="00415669"/>
    <w:rsid w:val="0042520B"/>
    <w:rsid w:val="00437FA3"/>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141FB"/>
    <w:rsid w:val="00520754"/>
    <w:rsid w:val="005209DD"/>
    <w:rsid w:val="00521757"/>
    <w:rsid w:val="00523936"/>
    <w:rsid w:val="00525EC4"/>
    <w:rsid w:val="00530DBD"/>
    <w:rsid w:val="00531B20"/>
    <w:rsid w:val="0054209D"/>
    <w:rsid w:val="00542767"/>
    <w:rsid w:val="00550766"/>
    <w:rsid w:val="00557A9C"/>
    <w:rsid w:val="005618A4"/>
    <w:rsid w:val="005678F9"/>
    <w:rsid w:val="005679B1"/>
    <w:rsid w:val="00570AE1"/>
    <w:rsid w:val="005761CD"/>
    <w:rsid w:val="0057782D"/>
    <w:rsid w:val="0058391A"/>
    <w:rsid w:val="00585D9D"/>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A3BA0"/>
    <w:rsid w:val="006B04F1"/>
    <w:rsid w:val="006B2983"/>
    <w:rsid w:val="006B2FE5"/>
    <w:rsid w:val="006B5623"/>
    <w:rsid w:val="006C07A5"/>
    <w:rsid w:val="006C3019"/>
    <w:rsid w:val="006C50CF"/>
    <w:rsid w:val="006F69F1"/>
    <w:rsid w:val="006F6ABB"/>
    <w:rsid w:val="007020C2"/>
    <w:rsid w:val="0070767E"/>
    <w:rsid w:val="0071456B"/>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43C33"/>
    <w:rsid w:val="00853D42"/>
    <w:rsid w:val="00870006"/>
    <w:rsid w:val="00871B78"/>
    <w:rsid w:val="00873C3A"/>
    <w:rsid w:val="00881D00"/>
    <w:rsid w:val="008934FD"/>
    <w:rsid w:val="008A24FC"/>
    <w:rsid w:val="008A2BD7"/>
    <w:rsid w:val="008B17B8"/>
    <w:rsid w:val="008C0FCA"/>
    <w:rsid w:val="008C1B95"/>
    <w:rsid w:val="008C5BD0"/>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9D20CE"/>
    <w:rsid w:val="00A02D36"/>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069FE"/>
    <w:rsid w:val="00B114B4"/>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5009"/>
    <w:rsid w:val="00BF7E48"/>
    <w:rsid w:val="00C0049A"/>
    <w:rsid w:val="00C05C27"/>
    <w:rsid w:val="00C1239C"/>
    <w:rsid w:val="00C14569"/>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B3F"/>
    <w:rsid w:val="00D05D54"/>
    <w:rsid w:val="00D1141F"/>
    <w:rsid w:val="00D157A9"/>
    <w:rsid w:val="00D15D31"/>
    <w:rsid w:val="00D1658A"/>
    <w:rsid w:val="00D21124"/>
    <w:rsid w:val="00D21C71"/>
    <w:rsid w:val="00D24DF5"/>
    <w:rsid w:val="00D27359"/>
    <w:rsid w:val="00D316B9"/>
    <w:rsid w:val="00D34BC5"/>
    <w:rsid w:val="00D42D2D"/>
    <w:rsid w:val="00D46753"/>
    <w:rsid w:val="00D53C89"/>
    <w:rsid w:val="00D60652"/>
    <w:rsid w:val="00D63AA4"/>
    <w:rsid w:val="00D66AFA"/>
    <w:rsid w:val="00D70FF6"/>
    <w:rsid w:val="00D75AD2"/>
    <w:rsid w:val="00D866FE"/>
    <w:rsid w:val="00DA0EB5"/>
    <w:rsid w:val="00DB57A3"/>
    <w:rsid w:val="00DC0278"/>
    <w:rsid w:val="00DC0B2E"/>
    <w:rsid w:val="00DD2D28"/>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5170776">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1155969">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71121310">
      <w:bodyDiv w:val="1"/>
      <w:marLeft w:val="0"/>
      <w:marRight w:val="0"/>
      <w:marTop w:val="0"/>
      <w:marBottom w:val="0"/>
      <w:divBdr>
        <w:top w:val="none" w:sz="0" w:space="0" w:color="auto"/>
        <w:left w:val="none" w:sz="0" w:space="0" w:color="auto"/>
        <w:bottom w:val="none" w:sz="0" w:space="0" w:color="auto"/>
        <w:right w:val="none" w:sz="0" w:space="0" w:color="auto"/>
      </w:divBdr>
    </w:div>
    <w:div w:id="791288224">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132093866">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644193250">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677810079">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D37051B-6EB2-436B-9DD8-4F1B0283B4B6}">
  <ds:schemaRefs>
    <ds:schemaRef ds:uri="http://purl.org/dc/elements/1.1/"/>
    <ds:schemaRef ds:uri="http://purl.org/dc/terms/"/>
    <ds:schemaRef ds:uri="6de0b781-56b2-43bc-9d5c-6e3d2f8e259e"/>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9ad033-83d3-4c24-a0bc-ea978ae32912"/>
  </ds:schemaRefs>
</ds:datastoreItem>
</file>

<file path=customXml/itemProps3.xml><?xml version="1.0" encoding="utf-8"?>
<ds:datastoreItem xmlns:ds="http://schemas.openxmlformats.org/officeDocument/2006/customXml" ds:itemID="{E39331EF-515E-4059-BEA8-88852F4EF879}"/>
</file>

<file path=customXml/itemProps4.xml><?xml version="1.0" encoding="utf-8"?>
<ds:datastoreItem xmlns:ds="http://schemas.openxmlformats.org/officeDocument/2006/customXml" ds:itemID="{333EADB0-573E-4CB3-8CC0-4A78C53F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10</cp:revision>
  <cp:lastPrinted>2015-06-12T15:31:00Z</cp:lastPrinted>
  <dcterms:created xsi:type="dcterms:W3CDTF">2020-08-20T17:55:00Z</dcterms:created>
  <dcterms:modified xsi:type="dcterms:W3CDTF">2020-12-01T18:58:00Z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