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25"/>
        <w:gridCol w:w="5015"/>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4397AF96" w:rsidR="000276C0" w:rsidRPr="0001423C" w:rsidRDefault="00131E56" w:rsidP="001055F1">
            <w:pPr>
              <w:rPr>
                <w:b/>
                <w:color w:val="FFFFFF" w:themeColor="background1"/>
                <w:sz w:val="28"/>
              </w:rPr>
            </w:pPr>
            <w:r>
              <w:rPr>
                <w:rFonts w:ascii="Arial" w:hAnsi="Arial" w:cs="Arial"/>
                <w:sz w:val="48"/>
                <w:szCs w:val="48"/>
              </w:rPr>
              <w:t>AICE</w:t>
            </w:r>
            <w:r w:rsidR="00BE2D62">
              <w:rPr>
                <w:rFonts w:ascii="Arial" w:hAnsi="Arial" w:cs="Arial"/>
                <w:sz w:val="48"/>
                <w:szCs w:val="48"/>
              </w:rPr>
              <w:t xml:space="preserve"> Physics</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15A07EBB" w:rsidR="000276C0" w:rsidRPr="00757C5A" w:rsidRDefault="000276C0" w:rsidP="003A21C1">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3A21C1">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225C044F" w:rsidR="000276C0" w:rsidRPr="0001423C" w:rsidRDefault="000F6ED9" w:rsidP="001055F1">
            <w:pPr>
              <w:rPr>
                <w:b/>
                <w:color w:val="FFFFFF" w:themeColor="background1"/>
                <w:sz w:val="28"/>
              </w:rPr>
            </w:pPr>
            <w:r>
              <w:rPr>
                <w:b/>
                <w:color w:val="FFFFFF" w:themeColor="background1"/>
                <w:sz w:val="28"/>
              </w:rPr>
              <w:t>1</w:t>
            </w:r>
            <w:r w:rsidR="00B54415">
              <w:rPr>
                <w:b/>
                <w:color w:val="FFFFFF" w:themeColor="background1"/>
                <w:sz w:val="28"/>
              </w:rPr>
              <w:t>2</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5D90A612" w:rsidR="000276C0" w:rsidRPr="00131E56" w:rsidRDefault="00131E56" w:rsidP="00816E99">
            <w:pPr>
              <w:rPr>
                <w:rFonts w:ascii="Calibri" w:hAnsi="Calibri" w:cs="Calibri"/>
                <w:i/>
                <w:color w:val="000000"/>
              </w:rPr>
            </w:pPr>
            <w:r w:rsidRPr="00131E56">
              <w:rPr>
                <w:rFonts w:ascii="Calibri" w:hAnsi="Calibri" w:cs="Calibri"/>
                <w:i/>
                <w:color w:val="000000"/>
              </w:rPr>
              <w:t>General Physics</w:t>
            </w:r>
          </w:p>
        </w:tc>
      </w:tr>
      <w:tr w:rsidR="00DD7275" w14:paraId="073B08AB" w14:textId="77777777" w:rsidTr="001B272C">
        <w:tc>
          <w:tcPr>
            <w:tcW w:w="925" w:type="dxa"/>
            <w:tcBorders>
              <w:top w:val="single" w:sz="8" w:space="0" w:color="404040" w:themeColor="text1" w:themeTint="BF"/>
            </w:tcBorders>
            <w:shd w:val="clear" w:color="auto" w:fill="auto"/>
            <w:vAlign w:val="center"/>
          </w:tcPr>
          <w:p w14:paraId="3C4B3FBF" w14:textId="7EE503D8" w:rsidR="00DD7275" w:rsidRDefault="001F4A33" w:rsidP="00DD7275">
            <w:pPr>
              <w:spacing w:before="60" w:after="60"/>
              <w:contextualSpacing/>
              <w:rPr>
                <w:rFonts w:cstheme="minorHAnsi"/>
              </w:rPr>
            </w:pPr>
            <w:r>
              <w:rPr>
                <w:rFonts w:ascii="Calibri" w:hAnsi="Calibri" w:cs="Calibri"/>
                <w:color w:val="000000"/>
              </w:rPr>
              <w:t>CP.1</w:t>
            </w:r>
          </w:p>
        </w:tc>
        <w:tc>
          <w:tcPr>
            <w:tcW w:w="9865" w:type="dxa"/>
            <w:gridSpan w:val="2"/>
            <w:tcBorders>
              <w:top w:val="single" w:sz="8" w:space="0" w:color="404040" w:themeColor="text1" w:themeTint="BF"/>
            </w:tcBorders>
            <w:shd w:val="clear" w:color="auto" w:fill="auto"/>
            <w:vAlign w:val="bottom"/>
          </w:tcPr>
          <w:p w14:paraId="2DD95FC0" w14:textId="16EA2BA5" w:rsidR="00DD7275" w:rsidRPr="00481DE6" w:rsidRDefault="00DD7275" w:rsidP="00DD7275">
            <w:pPr>
              <w:autoSpaceDE w:val="0"/>
              <w:autoSpaceDN w:val="0"/>
              <w:adjustRightInd w:val="0"/>
              <w:spacing w:before="60" w:after="60"/>
              <w:contextualSpacing/>
              <w:rPr>
                <w:rFonts w:cstheme="minorHAnsi"/>
                <w:noProof/>
              </w:rPr>
            </w:pPr>
            <w:r>
              <w:rPr>
                <w:rFonts w:ascii="Calibri" w:hAnsi="Calibri" w:cs="Calibri"/>
                <w:color w:val="000000"/>
              </w:rPr>
              <w:t>Physical Quantities &amp; Units: Understand the application of standard SI units to various physical measurements. Show an understanding that all physical quantities consi</w:t>
            </w:r>
            <w:bookmarkStart w:id="0" w:name="_GoBack"/>
            <w:bookmarkEnd w:id="0"/>
            <w:r>
              <w:rPr>
                <w:rFonts w:ascii="Calibri" w:hAnsi="Calibri" w:cs="Calibri"/>
                <w:color w:val="000000"/>
              </w:rPr>
              <w:t>st of a numerical magnitude and a unit. Express derived units as products or quotients of the SI base units and use the named units as appropriate.</w:t>
            </w:r>
          </w:p>
        </w:tc>
      </w:tr>
      <w:tr w:rsidR="00DD7275" w14:paraId="4EAB7A77" w14:textId="77777777" w:rsidTr="001B272C">
        <w:tc>
          <w:tcPr>
            <w:tcW w:w="925" w:type="dxa"/>
            <w:shd w:val="clear" w:color="auto" w:fill="auto"/>
            <w:vAlign w:val="center"/>
          </w:tcPr>
          <w:p w14:paraId="7EC83945" w14:textId="7785BB71" w:rsidR="00DD7275" w:rsidRDefault="001F4A33" w:rsidP="00DD7275">
            <w:pPr>
              <w:spacing w:before="60" w:after="60"/>
              <w:contextualSpacing/>
              <w:rPr>
                <w:rFonts w:cstheme="minorHAnsi"/>
              </w:rPr>
            </w:pPr>
            <w:r>
              <w:rPr>
                <w:rFonts w:ascii="Calibri" w:hAnsi="Calibri" w:cs="Calibri"/>
                <w:color w:val="000000"/>
              </w:rPr>
              <w:t>CP.2</w:t>
            </w:r>
          </w:p>
        </w:tc>
        <w:tc>
          <w:tcPr>
            <w:tcW w:w="9865" w:type="dxa"/>
            <w:gridSpan w:val="2"/>
            <w:shd w:val="clear" w:color="auto" w:fill="auto"/>
            <w:vAlign w:val="center"/>
          </w:tcPr>
          <w:p w14:paraId="624A1243" w14:textId="52732792" w:rsidR="00DD7275" w:rsidRPr="00481DE6" w:rsidRDefault="00DD7275" w:rsidP="00DD7275">
            <w:pPr>
              <w:autoSpaceDE w:val="0"/>
              <w:autoSpaceDN w:val="0"/>
              <w:adjustRightInd w:val="0"/>
              <w:spacing w:before="60" w:after="60"/>
              <w:contextualSpacing/>
              <w:rPr>
                <w:rFonts w:cstheme="minorHAnsi"/>
                <w:noProof/>
              </w:rPr>
            </w:pPr>
            <w:r>
              <w:rPr>
                <w:rFonts w:ascii="Calibri" w:hAnsi="Calibri" w:cs="Calibri"/>
                <w:color w:val="000000"/>
              </w:rPr>
              <w:t xml:space="preserve">Measurement Techniques: Use techniques for measuring length, volume, angle, mass, time, temperature, and electrical quantities. Use, with the proper degree of accuracy, a ruler, Vernier caliper, micrometer, spring and lever balances, protractor, stopwatch, thermometer, ammeter, voltmeter, galvanometer, and oscilloscope. Assess the uncertainty in a derived quantity. </w:t>
            </w:r>
          </w:p>
        </w:tc>
      </w:tr>
      <w:tr w:rsidR="00DD7275" w14:paraId="50FB0F6B" w14:textId="77777777" w:rsidTr="001B272C">
        <w:tc>
          <w:tcPr>
            <w:tcW w:w="925" w:type="dxa"/>
            <w:shd w:val="clear" w:color="auto" w:fill="auto"/>
            <w:vAlign w:val="center"/>
          </w:tcPr>
          <w:p w14:paraId="67624870" w14:textId="2EB154F2" w:rsidR="00DD7275" w:rsidRDefault="001F4A33" w:rsidP="00DD7275">
            <w:pPr>
              <w:spacing w:before="60" w:after="60"/>
              <w:contextualSpacing/>
              <w:rPr>
                <w:rFonts w:cstheme="minorHAnsi"/>
              </w:rPr>
            </w:pPr>
            <w:r>
              <w:rPr>
                <w:rFonts w:ascii="Calibri" w:hAnsi="Calibri" w:cs="Calibri"/>
                <w:color w:val="000000"/>
              </w:rPr>
              <w:t>CP.3</w:t>
            </w:r>
          </w:p>
        </w:tc>
        <w:tc>
          <w:tcPr>
            <w:tcW w:w="9865" w:type="dxa"/>
            <w:gridSpan w:val="2"/>
            <w:shd w:val="clear" w:color="auto" w:fill="auto"/>
            <w:vAlign w:val="bottom"/>
          </w:tcPr>
          <w:p w14:paraId="4081DCA9" w14:textId="57BAA74F" w:rsidR="00DD7275" w:rsidRDefault="00DD7275" w:rsidP="00DD7275">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Kinematics: Understand motion and the principles that describe motion. Define algebraically and graphically the terms displacement, speed, velocity, and acceleration. Solve problems using equations that represent uniformly accelerated motion in a straight line. </w:t>
            </w:r>
          </w:p>
        </w:tc>
      </w:tr>
      <w:tr w:rsidR="00DD7275" w14:paraId="12CE24D0" w14:textId="77777777" w:rsidTr="001B272C">
        <w:tc>
          <w:tcPr>
            <w:tcW w:w="925" w:type="dxa"/>
            <w:shd w:val="clear" w:color="auto" w:fill="auto"/>
            <w:vAlign w:val="center"/>
          </w:tcPr>
          <w:p w14:paraId="03328F37" w14:textId="79EA87E3" w:rsidR="00DD7275" w:rsidRDefault="001F4A33" w:rsidP="00DD7275">
            <w:pPr>
              <w:spacing w:before="60" w:after="60"/>
              <w:contextualSpacing/>
              <w:rPr>
                <w:rFonts w:cstheme="minorHAnsi"/>
              </w:rPr>
            </w:pPr>
            <w:r>
              <w:rPr>
                <w:rFonts w:ascii="Calibri" w:hAnsi="Calibri" w:cs="Calibri"/>
                <w:color w:val="000000"/>
              </w:rPr>
              <w:t>CP.4</w:t>
            </w:r>
          </w:p>
        </w:tc>
        <w:tc>
          <w:tcPr>
            <w:tcW w:w="9865" w:type="dxa"/>
            <w:gridSpan w:val="2"/>
            <w:shd w:val="clear" w:color="auto" w:fill="auto"/>
            <w:vAlign w:val="bottom"/>
          </w:tcPr>
          <w:p w14:paraId="45ACD758" w14:textId="17AA4374" w:rsidR="00DD7275" w:rsidRDefault="00DD7275" w:rsidP="00DD7275">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Dynamics: Understand how Newton's Laws can be used to explain the motion of objects and apply these laws to real world </w:t>
            </w:r>
            <w:proofErr w:type="gramStart"/>
            <w:r>
              <w:rPr>
                <w:rFonts w:ascii="Calibri" w:hAnsi="Calibri" w:cs="Calibri"/>
                <w:color w:val="000000"/>
              </w:rPr>
              <w:t>situations, and</w:t>
            </w:r>
            <w:proofErr w:type="gramEnd"/>
            <w:r>
              <w:rPr>
                <w:rFonts w:ascii="Calibri" w:hAnsi="Calibri" w:cs="Calibri"/>
                <w:color w:val="000000"/>
              </w:rPr>
              <w:t xml:space="preserve"> use the Conservation of Momentum to explain elastic and inelastic interactions. Show an understanding of the relationship between force and acceleration. Apply the principle of the conservation of momentum to situations described by Newton's third law of motion. </w:t>
            </w:r>
          </w:p>
        </w:tc>
      </w:tr>
      <w:tr w:rsidR="00DD7275" w14:paraId="7C1636D2" w14:textId="77777777" w:rsidTr="001B272C">
        <w:tc>
          <w:tcPr>
            <w:tcW w:w="925" w:type="dxa"/>
            <w:shd w:val="clear" w:color="auto" w:fill="auto"/>
            <w:vAlign w:val="center"/>
          </w:tcPr>
          <w:p w14:paraId="5E46B56A" w14:textId="76699BC8" w:rsidR="00DD7275" w:rsidRDefault="001F4A33" w:rsidP="00DD7275">
            <w:pPr>
              <w:spacing w:before="60" w:after="60"/>
              <w:contextualSpacing/>
              <w:rPr>
                <w:rFonts w:cstheme="minorHAnsi"/>
              </w:rPr>
            </w:pPr>
            <w:r>
              <w:rPr>
                <w:rFonts w:ascii="Calibri" w:hAnsi="Calibri" w:cs="Calibri"/>
                <w:color w:val="000000"/>
              </w:rPr>
              <w:t>CP.6</w:t>
            </w:r>
          </w:p>
        </w:tc>
        <w:tc>
          <w:tcPr>
            <w:tcW w:w="9865" w:type="dxa"/>
            <w:gridSpan w:val="2"/>
            <w:shd w:val="clear" w:color="auto" w:fill="auto"/>
            <w:vAlign w:val="bottom"/>
          </w:tcPr>
          <w:p w14:paraId="59AA79F9" w14:textId="7B5E943B" w:rsidR="00DD7275" w:rsidRDefault="00DD7275" w:rsidP="00DD7275">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Work, Energy, Power: Apply the Conservation of Energy to the movement of objects, relating energy to the concepts of work and power. Understand the relationship between work and energy changes. Define power as work done per unit </w:t>
            </w:r>
            <w:proofErr w:type="gramStart"/>
            <w:r>
              <w:rPr>
                <w:rFonts w:ascii="Calibri" w:hAnsi="Calibri" w:cs="Calibri"/>
                <w:color w:val="000000"/>
              </w:rPr>
              <w:t>time, and</w:t>
            </w:r>
            <w:proofErr w:type="gramEnd"/>
            <w:r>
              <w:rPr>
                <w:rFonts w:ascii="Calibri" w:hAnsi="Calibri" w:cs="Calibri"/>
                <w:color w:val="000000"/>
              </w:rPr>
              <w:t xml:space="preserve"> derive power as the product of force and velocity.</w:t>
            </w:r>
          </w:p>
        </w:tc>
      </w:tr>
      <w:tr w:rsidR="00DD7275" w14:paraId="4A2F3907" w14:textId="77777777" w:rsidTr="001B272C">
        <w:tc>
          <w:tcPr>
            <w:tcW w:w="925" w:type="dxa"/>
            <w:shd w:val="clear" w:color="auto" w:fill="auto"/>
            <w:vAlign w:val="center"/>
          </w:tcPr>
          <w:p w14:paraId="724D97D3" w14:textId="56DF5C9A" w:rsidR="00DD7275" w:rsidRDefault="001F4A33" w:rsidP="00DD7275">
            <w:pPr>
              <w:spacing w:before="60" w:after="60"/>
              <w:contextualSpacing/>
              <w:rPr>
                <w:rFonts w:cstheme="minorHAnsi"/>
              </w:rPr>
            </w:pPr>
            <w:r>
              <w:rPr>
                <w:rFonts w:ascii="Calibri" w:hAnsi="Calibri" w:cs="Calibri"/>
                <w:color w:val="000000"/>
              </w:rPr>
              <w:t>CP.8</w:t>
            </w:r>
          </w:p>
        </w:tc>
        <w:tc>
          <w:tcPr>
            <w:tcW w:w="9865" w:type="dxa"/>
            <w:gridSpan w:val="2"/>
            <w:shd w:val="clear" w:color="auto" w:fill="auto"/>
            <w:vAlign w:val="bottom"/>
          </w:tcPr>
          <w:p w14:paraId="25C6797B" w14:textId="080F87F4" w:rsidR="00DD7275" w:rsidRDefault="00DD7275" w:rsidP="00DD7275">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Deformation of Solids: Explain the use of the terms stress, strain, and the Young modulus, relating these to the action of springs and Hooke's Law. Describe the behavior of springs in terms of load, extension, elastic limit, Hooke's Law, and the spring constant. Describe an experiment to determine the Young modulus of a metal in the form of a wire. </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795143EC" w:rsidR="0078281C" w:rsidRPr="00DD7275" w:rsidRDefault="00DD7275" w:rsidP="003D4829">
            <w:pPr>
              <w:rPr>
                <w:rFonts w:ascii="Calibri" w:hAnsi="Calibri" w:cs="Calibri"/>
                <w:i/>
                <w:color w:val="000000"/>
              </w:rPr>
            </w:pPr>
            <w:r w:rsidRPr="00DD7275">
              <w:rPr>
                <w:rFonts w:ascii="Calibri" w:hAnsi="Calibri" w:cs="Calibri"/>
                <w:i/>
                <w:color w:val="000000"/>
              </w:rPr>
              <w:t>Thermal Physics</w:t>
            </w:r>
          </w:p>
        </w:tc>
      </w:tr>
      <w:tr w:rsidR="00290947" w14:paraId="0BBA095B" w14:textId="77777777" w:rsidTr="001B272C">
        <w:tc>
          <w:tcPr>
            <w:tcW w:w="925" w:type="dxa"/>
            <w:tcBorders>
              <w:top w:val="single" w:sz="8" w:space="0" w:color="404040" w:themeColor="text1" w:themeTint="BF"/>
              <w:bottom w:val="single" w:sz="8" w:space="0" w:color="BFBFBF" w:themeColor="background1" w:themeShade="BF"/>
            </w:tcBorders>
            <w:shd w:val="clear" w:color="auto" w:fill="auto"/>
            <w:vAlign w:val="center"/>
          </w:tcPr>
          <w:p w14:paraId="46388975" w14:textId="147D4704" w:rsidR="00290947" w:rsidRPr="00990599" w:rsidRDefault="001F4A33" w:rsidP="00290947">
            <w:pPr>
              <w:spacing w:before="60" w:after="60"/>
              <w:contextualSpacing/>
              <w:rPr>
                <w:rFonts w:cstheme="minorHAnsi"/>
              </w:rPr>
            </w:pPr>
            <w:r>
              <w:rPr>
                <w:rFonts w:ascii="Calibri" w:hAnsi="Calibri" w:cs="Calibri"/>
                <w:color w:val="000000"/>
              </w:rPr>
              <w:t>CP.7</w:t>
            </w:r>
          </w:p>
        </w:tc>
        <w:tc>
          <w:tcPr>
            <w:tcW w:w="9865" w:type="dxa"/>
            <w:gridSpan w:val="2"/>
            <w:tcBorders>
              <w:top w:val="single" w:sz="8" w:space="0" w:color="404040" w:themeColor="text1" w:themeTint="BF"/>
              <w:bottom w:val="single" w:sz="8" w:space="0" w:color="BFBFBF" w:themeColor="background1" w:themeShade="BF"/>
            </w:tcBorders>
            <w:shd w:val="clear" w:color="auto" w:fill="auto"/>
            <w:vAlign w:val="bottom"/>
          </w:tcPr>
          <w:p w14:paraId="01FE16B7" w14:textId="6DBB9BAE" w:rsidR="00290947" w:rsidRPr="00A316BA" w:rsidRDefault="00A316BA" w:rsidP="00A316BA">
            <w:pPr>
              <w:rPr>
                <w:rFonts w:ascii="Calibri" w:hAnsi="Calibri" w:cs="Calibri"/>
                <w:color w:val="000000"/>
              </w:rPr>
            </w:pPr>
            <w:r>
              <w:rPr>
                <w:rFonts w:ascii="Calibri" w:hAnsi="Calibri" w:cs="Calibri"/>
                <w:color w:val="000000"/>
              </w:rPr>
              <w:t xml:space="preserve">Phases of Matter: Distinguish between the kinetic models of solids, liquids, and gases, emphasizing the processes of melting, boiling and evaporation. Relate the difference in the structures and densities of solids, liquids and gases to simple ideas of the spacing, ordering, and motion of the molecules. Define the term </w:t>
            </w:r>
            <w:proofErr w:type="gramStart"/>
            <w:r>
              <w:rPr>
                <w:rFonts w:ascii="Calibri" w:hAnsi="Calibri" w:cs="Calibri"/>
                <w:color w:val="000000"/>
              </w:rPr>
              <w:t>pressure, and</w:t>
            </w:r>
            <w:proofErr w:type="gramEnd"/>
            <w:r>
              <w:rPr>
                <w:rFonts w:ascii="Calibri" w:hAnsi="Calibri" w:cs="Calibri"/>
                <w:color w:val="000000"/>
              </w:rPr>
              <w:t xml:space="preserve"> use the kinetic model to explain the pressure exerted by gases.</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38C2A64B" w:rsidR="00334ABD" w:rsidRPr="00A316BA" w:rsidRDefault="00A316BA" w:rsidP="00D24DF5">
            <w:pPr>
              <w:rPr>
                <w:rFonts w:ascii="Calibri" w:hAnsi="Calibri" w:cs="Calibri"/>
                <w:i/>
                <w:color w:val="000000"/>
              </w:rPr>
            </w:pPr>
            <w:r w:rsidRPr="00A316BA">
              <w:rPr>
                <w:rFonts w:ascii="Calibri" w:hAnsi="Calibri" w:cs="Calibri"/>
                <w:i/>
                <w:color w:val="000000"/>
              </w:rPr>
              <w:t>Properties of Waves</w:t>
            </w:r>
          </w:p>
        </w:tc>
      </w:tr>
      <w:tr w:rsidR="00A316BA" w14:paraId="28115A43" w14:textId="77777777" w:rsidTr="001B272C">
        <w:tc>
          <w:tcPr>
            <w:tcW w:w="925" w:type="dxa"/>
            <w:tcBorders>
              <w:top w:val="single" w:sz="8" w:space="0" w:color="404040" w:themeColor="text1" w:themeTint="BF"/>
            </w:tcBorders>
            <w:shd w:val="clear" w:color="auto" w:fill="auto"/>
            <w:vAlign w:val="center"/>
          </w:tcPr>
          <w:p w14:paraId="4305F9C9" w14:textId="58186344" w:rsidR="00A316BA" w:rsidRPr="00990599" w:rsidRDefault="001F4A33" w:rsidP="00A316BA">
            <w:pPr>
              <w:spacing w:before="60" w:after="60"/>
              <w:contextualSpacing/>
              <w:rPr>
                <w:rFonts w:cstheme="minorHAnsi"/>
              </w:rPr>
            </w:pPr>
            <w:r>
              <w:rPr>
                <w:rFonts w:ascii="Calibri" w:hAnsi="Calibri" w:cs="Calibri"/>
                <w:color w:val="000000"/>
              </w:rPr>
              <w:t>CP.9</w:t>
            </w:r>
          </w:p>
        </w:tc>
        <w:tc>
          <w:tcPr>
            <w:tcW w:w="9865" w:type="dxa"/>
            <w:gridSpan w:val="2"/>
            <w:tcBorders>
              <w:top w:val="single" w:sz="8" w:space="0" w:color="404040" w:themeColor="text1" w:themeTint="BF"/>
            </w:tcBorders>
            <w:shd w:val="clear" w:color="auto" w:fill="auto"/>
            <w:vAlign w:val="bottom"/>
          </w:tcPr>
          <w:p w14:paraId="574C6025" w14:textId="529F6D72" w:rsidR="00A316BA" w:rsidRPr="00D34BC5" w:rsidRDefault="00A316BA" w:rsidP="00A316BA">
            <w:pPr>
              <w:autoSpaceDE w:val="0"/>
              <w:autoSpaceDN w:val="0"/>
              <w:adjustRightInd w:val="0"/>
              <w:spacing w:before="60" w:after="60"/>
              <w:contextualSpacing/>
              <w:rPr>
                <w:rFonts w:cstheme="minorHAnsi"/>
                <w:noProof/>
              </w:rPr>
            </w:pPr>
            <w:r>
              <w:rPr>
                <w:rFonts w:ascii="Calibri" w:hAnsi="Calibri" w:cs="Calibri"/>
                <w:color w:val="000000"/>
              </w:rPr>
              <w:t xml:space="preserve">Waves: Identify and differentiate wave production, transmission, and behavior. Show an understanding of and use the terms displacement, amplitude, phase difference, period, frequency, wavelength and speed. Determine the frequency of sound using stationary waves. </w:t>
            </w:r>
          </w:p>
        </w:tc>
      </w:tr>
      <w:tr w:rsidR="00A316BA" w14:paraId="32738EC8" w14:textId="77777777" w:rsidTr="001B272C">
        <w:tc>
          <w:tcPr>
            <w:tcW w:w="925" w:type="dxa"/>
            <w:shd w:val="clear" w:color="auto" w:fill="auto"/>
            <w:vAlign w:val="center"/>
          </w:tcPr>
          <w:p w14:paraId="3CC0889E" w14:textId="700D8B21" w:rsidR="00A316BA" w:rsidRPr="00990599" w:rsidRDefault="001F4A33" w:rsidP="00A316BA">
            <w:pPr>
              <w:spacing w:before="60" w:after="60"/>
              <w:contextualSpacing/>
              <w:rPr>
                <w:rFonts w:cstheme="minorHAnsi"/>
              </w:rPr>
            </w:pPr>
            <w:r>
              <w:rPr>
                <w:rFonts w:ascii="Calibri" w:hAnsi="Calibri" w:cs="Calibri"/>
                <w:color w:val="000000"/>
              </w:rPr>
              <w:t>CP.10</w:t>
            </w:r>
          </w:p>
        </w:tc>
        <w:tc>
          <w:tcPr>
            <w:tcW w:w="9865" w:type="dxa"/>
            <w:gridSpan w:val="2"/>
            <w:shd w:val="clear" w:color="auto" w:fill="auto"/>
            <w:vAlign w:val="bottom"/>
          </w:tcPr>
          <w:p w14:paraId="4145EBCA" w14:textId="10DE0AB1" w:rsidR="00A316BA" w:rsidRPr="00D34BC5" w:rsidRDefault="00A316BA" w:rsidP="00A316BA">
            <w:pPr>
              <w:autoSpaceDE w:val="0"/>
              <w:autoSpaceDN w:val="0"/>
              <w:adjustRightInd w:val="0"/>
              <w:spacing w:before="60" w:after="60"/>
              <w:contextualSpacing/>
              <w:rPr>
                <w:rFonts w:cstheme="minorHAnsi"/>
                <w:noProof/>
              </w:rPr>
            </w:pPr>
            <w:r>
              <w:rPr>
                <w:rFonts w:ascii="Calibri" w:hAnsi="Calibri" w:cs="Calibri"/>
                <w:color w:val="000000"/>
              </w:rPr>
              <w:t xml:space="preserve">Superposition: Understand wave interactions in the formation of standing (stationary) waves and interference patterns. Explain the formation of stationary waves using a graphical </w:t>
            </w:r>
            <w:proofErr w:type="gramStart"/>
            <w:r>
              <w:rPr>
                <w:rFonts w:ascii="Calibri" w:hAnsi="Calibri" w:cs="Calibri"/>
                <w:color w:val="000000"/>
              </w:rPr>
              <w:t>method, and</w:t>
            </w:r>
            <w:proofErr w:type="gramEnd"/>
            <w:r>
              <w:rPr>
                <w:rFonts w:ascii="Calibri" w:hAnsi="Calibri" w:cs="Calibri"/>
                <w:color w:val="000000"/>
              </w:rPr>
              <w:t xml:space="preserve"> identify nodes and antinodes. Show an understanding of experiments that demonstrate diffraction and interference. </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1236AA6E" w:rsidR="00D03B3F" w:rsidRPr="00D124E2" w:rsidRDefault="00D124E2" w:rsidP="00185E41">
            <w:pPr>
              <w:rPr>
                <w:rFonts w:ascii="Calibri" w:hAnsi="Calibri" w:cs="Calibri"/>
                <w:i/>
                <w:color w:val="000000"/>
              </w:rPr>
            </w:pPr>
            <w:r w:rsidRPr="00D124E2">
              <w:rPr>
                <w:rFonts w:ascii="Calibri" w:hAnsi="Calibri" w:cs="Calibri"/>
                <w:i/>
                <w:color w:val="000000"/>
              </w:rPr>
              <w:t>Electricity and Magnetism</w:t>
            </w:r>
          </w:p>
        </w:tc>
      </w:tr>
      <w:tr w:rsidR="00D124E2" w14:paraId="49920F93" w14:textId="77777777" w:rsidTr="001B272C">
        <w:tc>
          <w:tcPr>
            <w:tcW w:w="925" w:type="dxa"/>
            <w:tcBorders>
              <w:top w:val="single" w:sz="8" w:space="0" w:color="404040" w:themeColor="text1" w:themeTint="BF"/>
            </w:tcBorders>
            <w:shd w:val="clear" w:color="auto" w:fill="auto"/>
            <w:vAlign w:val="center"/>
          </w:tcPr>
          <w:p w14:paraId="20675393" w14:textId="350D816A" w:rsidR="00D124E2" w:rsidRPr="00990599" w:rsidRDefault="001F4A33" w:rsidP="00D124E2">
            <w:pPr>
              <w:spacing w:before="60" w:after="60"/>
              <w:contextualSpacing/>
              <w:rPr>
                <w:rFonts w:cstheme="minorHAnsi"/>
              </w:rPr>
            </w:pPr>
            <w:r>
              <w:rPr>
                <w:rFonts w:ascii="Calibri" w:hAnsi="Calibri" w:cs="Calibri"/>
                <w:color w:val="000000"/>
              </w:rPr>
              <w:t>CP.11</w:t>
            </w:r>
          </w:p>
        </w:tc>
        <w:tc>
          <w:tcPr>
            <w:tcW w:w="9865" w:type="dxa"/>
            <w:gridSpan w:val="2"/>
            <w:tcBorders>
              <w:top w:val="single" w:sz="8" w:space="0" w:color="404040" w:themeColor="text1" w:themeTint="BF"/>
            </w:tcBorders>
            <w:shd w:val="clear" w:color="auto" w:fill="auto"/>
            <w:vAlign w:val="bottom"/>
          </w:tcPr>
          <w:p w14:paraId="36FE01A6" w14:textId="647A794F" w:rsidR="00D124E2" w:rsidRPr="00941F7E" w:rsidRDefault="00D124E2" w:rsidP="00D124E2">
            <w:pPr>
              <w:autoSpaceDE w:val="0"/>
              <w:autoSpaceDN w:val="0"/>
              <w:adjustRightInd w:val="0"/>
              <w:spacing w:before="60" w:after="60"/>
              <w:contextualSpacing/>
              <w:rPr>
                <w:rFonts w:cstheme="minorHAnsi"/>
                <w:noProof/>
              </w:rPr>
            </w:pPr>
            <w:r>
              <w:rPr>
                <w:rFonts w:ascii="Calibri" w:hAnsi="Calibri" w:cs="Calibri"/>
                <w:color w:val="000000"/>
              </w:rPr>
              <w:t xml:space="preserve">Electric Fields: Demonstrate the concept of electric field as a field of force per unit of positive charge. Define electric field strength and represent electric field by means of field lines. Describe the effect of a uniform electric field on the motion of charged particles. </w:t>
            </w:r>
          </w:p>
        </w:tc>
      </w:tr>
      <w:tr w:rsidR="00D124E2" w14:paraId="0543CEC5" w14:textId="77777777" w:rsidTr="001B272C">
        <w:tc>
          <w:tcPr>
            <w:tcW w:w="925" w:type="dxa"/>
            <w:tcBorders>
              <w:top w:val="single" w:sz="8" w:space="0" w:color="404040" w:themeColor="text1" w:themeTint="BF"/>
            </w:tcBorders>
            <w:shd w:val="clear" w:color="auto" w:fill="auto"/>
            <w:vAlign w:val="center"/>
          </w:tcPr>
          <w:p w14:paraId="1C97E57A" w14:textId="7377A7A0" w:rsidR="00D124E2" w:rsidRDefault="001F4A33" w:rsidP="00D124E2">
            <w:pPr>
              <w:spacing w:before="60" w:after="60"/>
              <w:contextualSpacing/>
              <w:rPr>
                <w:rFonts w:cstheme="minorHAnsi"/>
              </w:rPr>
            </w:pPr>
            <w:r>
              <w:rPr>
                <w:rFonts w:ascii="Calibri" w:hAnsi="Calibri" w:cs="Calibri"/>
                <w:color w:val="000000"/>
              </w:rPr>
              <w:t>CP.12</w:t>
            </w:r>
          </w:p>
        </w:tc>
        <w:tc>
          <w:tcPr>
            <w:tcW w:w="9865" w:type="dxa"/>
            <w:gridSpan w:val="2"/>
            <w:tcBorders>
              <w:top w:val="single" w:sz="8" w:space="0" w:color="404040" w:themeColor="text1" w:themeTint="BF"/>
            </w:tcBorders>
            <w:shd w:val="clear" w:color="auto" w:fill="auto"/>
            <w:vAlign w:val="bottom"/>
          </w:tcPr>
          <w:p w14:paraId="0A4B4933" w14:textId="3DC61746" w:rsidR="00D124E2" w:rsidRDefault="00D124E2" w:rsidP="00D124E2">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Current Electricity: Describe and apply electric phenomena such as current, voltage, resistance, and resistivity. Show an understanding that electric current is the flow of charged </w:t>
            </w:r>
            <w:proofErr w:type="gramStart"/>
            <w:r>
              <w:rPr>
                <w:rFonts w:ascii="Calibri" w:hAnsi="Calibri" w:cs="Calibri"/>
                <w:color w:val="000000"/>
              </w:rPr>
              <w:t>particles, and</w:t>
            </w:r>
            <w:proofErr w:type="gramEnd"/>
            <w:r>
              <w:rPr>
                <w:rFonts w:ascii="Calibri" w:hAnsi="Calibri" w:cs="Calibri"/>
                <w:color w:val="000000"/>
              </w:rPr>
              <w:t xml:space="preserve"> define potential difference. Understand the relationship between resistance and resistivity. </w:t>
            </w:r>
          </w:p>
        </w:tc>
      </w:tr>
      <w:tr w:rsidR="00D124E2" w14:paraId="6A7FF2D7" w14:textId="77777777" w:rsidTr="001B272C">
        <w:tc>
          <w:tcPr>
            <w:tcW w:w="925" w:type="dxa"/>
            <w:shd w:val="clear" w:color="auto" w:fill="auto"/>
            <w:vAlign w:val="center"/>
          </w:tcPr>
          <w:p w14:paraId="036C652E" w14:textId="31438E3F" w:rsidR="00D124E2" w:rsidRPr="00990599" w:rsidRDefault="001F4A33" w:rsidP="00D124E2">
            <w:pPr>
              <w:spacing w:before="60" w:after="60"/>
              <w:contextualSpacing/>
              <w:rPr>
                <w:rFonts w:cstheme="minorHAnsi"/>
              </w:rPr>
            </w:pPr>
            <w:r>
              <w:rPr>
                <w:rFonts w:ascii="Calibri" w:hAnsi="Calibri" w:cs="Calibri"/>
                <w:color w:val="000000"/>
              </w:rPr>
              <w:t>CP.13</w:t>
            </w:r>
          </w:p>
        </w:tc>
        <w:tc>
          <w:tcPr>
            <w:tcW w:w="9865" w:type="dxa"/>
            <w:gridSpan w:val="2"/>
            <w:shd w:val="clear" w:color="auto" w:fill="auto"/>
            <w:vAlign w:val="bottom"/>
          </w:tcPr>
          <w:p w14:paraId="707242F7" w14:textId="71542227" w:rsidR="00D124E2" w:rsidRPr="00941F7E" w:rsidRDefault="00D124E2" w:rsidP="00D124E2">
            <w:pPr>
              <w:autoSpaceDE w:val="0"/>
              <w:autoSpaceDN w:val="0"/>
              <w:adjustRightInd w:val="0"/>
              <w:spacing w:before="60" w:after="60"/>
              <w:contextualSpacing/>
              <w:rPr>
                <w:rFonts w:cstheme="minorHAnsi"/>
                <w:noProof/>
              </w:rPr>
            </w:pPr>
            <w:r>
              <w:rPr>
                <w:rFonts w:ascii="Calibri" w:hAnsi="Calibri" w:cs="Calibri"/>
                <w:color w:val="000000"/>
              </w:rPr>
              <w:t xml:space="preserve">DC Circuits: Students know how to solve problems involving Ohm's Law and Kirchhoff's Laws in series, parallel, and combination circuits. Draw and interpret circuit diagrams containing sources, switches, resistors, ammeters, voltmeters, and any other type of component referred to in the syllabus. Apply Ohm's </w:t>
            </w:r>
            <w:r>
              <w:rPr>
                <w:rFonts w:ascii="Calibri" w:hAnsi="Calibri" w:cs="Calibri"/>
                <w:color w:val="000000"/>
              </w:rPr>
              <w:lastRenderedPageBreak/>
              <w:t xml:space="preserve">Law, and Kirchhoff's Laws to series and parallel circuits, then learn how to use these laws with more complex combination circuits. </w:t>
            </w:r>
          </w:p>
        </w:tc>
      </w:tr>
      <w:tr w:rsidR="005678F9" w14:paraId="50415F3A" w14:textId="77777777" w:rsidTr="005678F9">
        <w:tc>
          <w:tcPr>
            <w:tcW w:w="10790" w:type="dxa"/>
            <w:gridSpan w:val="3"/>
            <w:tcBorders>
              <w:top w:val="single" w:sz="4" w:space="0" w:color="auto"/>
              <w:bottom w:val="single" w:sz="4" w:space="0" w:color="auto"/>
            </w:tcBorders>
            <w:shd w:val="clear" w:color="auto" w:fill="99CCFF"/>
            <w:vAlign w:val="center"/>
          </w:tcPr>
          <w:p w14:paraId="31E8EFB9" w14:textId="49FA3B44" w:rsidR="005678F9" w:rsidRPr="004B3DFB" w:rsidRDefault="004B3DFB" w:rsidP="0054209D">
            <w:pPr>
              <w:rPr>
                <w:rFonts w:ascii="Calibri" w:hAnsi="Calibri" w:cs="Calibri"/>
                <w:i/>
                <w:color w:val="000000"/>
              </w:rPr>
            </w:pPr>
            <w:r w:rsidRPr="004B3DFB">
              <w:rPr>
                <w:rFonts w:ascii="Calibri" w:hAnsi="Calibri" w:cs="Calibri"/>
                <w:i/>
                <w:color w:val="000000"/>
              </w:rPr>
              <w:lastRenderedPageBreak/>
              <w:t>Atomic Physics</w:t>
            </w:r>
          </w:p>
        </w:tc>
      </w:tr>
      <w:tr w:rsidR="00014880" w14:paraId="3933498F" w14:textId="77777777" w:rsidTr="001B272C">
        <w:tc>
          <w:tcPr>
            <w:tcW w:w="925" w:type="dxa"/>
            <w:tcBorders>
              <w:top w:val="single" w:sz="4" w:space="0" w:color="auto"/>
              <w:bottom w:val="single" w:sz="4" w:space="0" w:color="auto"/>
            </w:tcBorders>
            <w:shd w:val="clear" w:color="auto" w:fill="auto"/>
            <w:vAlign w:val="center"/>
          </w:tcPr>
          <w:p w14:paraId="7EF11787" w14:textId="7DD5C439" w:rsidR="00014880" w:rsidRDefault="001F4A33" w:rsidP="00014880">
            <w:pPr>
              <w:spacing w:before="60" w:after="60"/>
              <w:contextualSpacing/>
              <w:rPr>
                <w:rFonts w:cstheme="minorHAnsi"/>
              </w:rPr>
            </w:pPr>
            <w:r>
              <w:rPr>
                <w:rFonts w:ascii="Calibri" w:hAnsi="Calibri" w:cs="Calibri"/>
                <w:color w:val="000000"/>
              </w:rPr>
              <w:t>CP.14</w:t>
            </w:r>
          </w:p>
        </w:tc>
        <w:tc>
          <w:tcPr>
            <w:tcW w:w="9865" w:type="dxa"/>
            <w:gridSpan w:val="2"/>
            <w:tcBorders>
              <w:top w:val="single" w:sz="4" w:space="0" w:color="auto"/>
              <w:bottom w:val="single" w:sz="4" w:space="0" w:color="auto"/>
            </w:tcBorders>
            <w:shd w:val="clear" w:color="auto" w:fill="auto"/>
            <w:vAlign w:val="bottom"/>
          </w:tcPr>
          <w:p w14:paraId="0220A3A9" w14:textId="5F7DF2BA" w:rsidR="00014880" w:rsidRDefault="004B3DFB" w:rsidP="004B3DFB">
            <w:pPr>
              <w:rPr>
                <w:rFonts w:ascii="Calibri" w:hAnsi="Calibri" w:cs="Calibri"/>
                <w:color w:val="000000"/>
              </w:rPr>
            </w:pPr>
            <w:r>
              <w:rPr>
                <w:rFonts w:ascii="Calibri" w:hAnsi="Calibri" w:cs="Calibri"/>
                <w:color w:val="000000"/>
              </w:rPr>
              <w:t xml:space="preserve">Nuclear Physics: Understand nuclear structure, nuclear reaction equations, isotopes, </w:t>
            </w:r>
            <w:proofErr w:type="gramStart"/>
            <w:r>
              <w:rPr>
                <w:rFonts w:ascii="Calibri" w:hAnsi="Calibri" w:cs="Calibri"/>
                <w:color w:val="000000"/>
              </w:rPr>
              <w:t>and ?</w:t>
            </w:r>
            <w:proofErr w:type="gramEnd"/>
            <w:r>
              <w:rPr>
                <w:rFonts w:ascii="Calibri" w:hAnsi="Calibri" w:cs="Calibri"/>
                <w:color w:val="000000"/>
              </w:rPr>
              <w:t xml:space="preserve">, ?, and ? radioactivity. Determine the products of radioactive decay reactions, using the concepts of conservation of mass and conservation of charge. Show an understanding of the spontaneous and random nature of nuclear decay. </w:t>
            </w:r>
          </w:p>
        </w:tc>
      </w:tr>
      <w:tr w:rsidR="004B3DFB" w14:paraId="32A2F442" w14:textId="77777777" w:rsidTr="004B3DFB">
        <w:tc>
          <w:tcPr>
            <w:tcW w:w="10790" w:type="dxa"/>
            <w:gridSpan w:val="3"/>
            <w:tcBorders>
              <w:top w:val="single" w:sz="4" w:space="0" w:color="auto"/>
              <w:bottom w:val="single" w:sz="4" w:space="0" w:color="auto"/>
            </w:tcBorders>
            <w:shd w:val="clear" w:color="auto" w:fill="99CCFF"/>
            <w:vAlign w:val="center"/>
          </w:tcPr>
          <w:p w14:paraId="4CE2C4C1" w14:textId="72AE351E" w:rsidR="004B3DFB" w:rsidRPr="008212C9" w:rsidRDefault="008212C9" w:rsidP="008212C9">
            <w:pPr>
              <w:rPr>
                <w:rFonts w:ascii="Calibri" w:hAnsi="Calibri" w:cs="Calibri"/>
                <w:i/>
                <w:color w:val="000000"/>
              </w:rPr>
            </w:pPr>
            <w:r w:rsidRPr="008212C9">
              <w:rPr>
                <w:rFonts w:ascii="Calibri" w:hAnsi="Calibri" w:cs="Calibri"/>
                <w:i/>
                <w:color w:val="000000"/>
              </w:rPr>
              <w:t>Lab Skills</w:t>
            </w:r>
          </w:p>
        </w:tc>
      </w:tr>
      <w:tr w:rsidR="00014880" w14:paraId="1DD9829E" w14:textId="77777777" w:rsidTr="001B272C">
        <w:tc>
          <w:tcPr>
            <w:tcW w:w="925" w:type="dxa"/>
            <w:tcBorders>
              <w:top w:val="single" w:sz="4" w:space="0" w:color="auto"/>
            </w:tcBorders>
            <w:shd w:val="clear" w:color="auto" w:fill="auto"/>
            <w:vAlign w:val="center"/>
          </w:tcPr>
          <w:p w14:paraId="34BEBF71" w14:textId="214E720B" w:rsidR="00014880" w:rsidRDefault="001F4A33" w:rsidP="00014880">
            <w:pPr>
              <w:spacing w:before="60" w:after="60"/>
              <w:contextualSpacing/>
              <w:rPr>
                <w:rFonts w:cstheme="minorHAnsi"/>
              </w:rPr>
            </w:pPr>
            <w:r>
              <w:rPr>
                <w:rFonts w:ascii="Calibri" w:hAnsi="Calibri" w:cs="Calibri"/>
                <w:color w:val="000000"/>
              </w:rPr>
              <w:t>CP.15</w:t>
            </w:r>
          </w:p>
        </w:tc>
        <w:tc>
          <w:tcPr>
            <w:tcW w:w="9865" w:type="dxa"/>
            <w:gridSpan w:val="2"/>
            <w:tcBorders>
              <w:top w:val="single" w:sz="4" w:space="0" w:color="auto"/>
            </w:tcBorders>
            <w:shd w:val="clear" w:color="auto" w:fill="auto"/>
            <w:vAlign w:val="bottom"/>
          </w:tcPr>
          <w:p w14:paraId="14C327C6" w14:textId="731FAD76" w:rsidR="00014880" w:rsidRDefault="008212C9" w:rsidP="008212C9">
            <w:pPr>
              <w:rPr>
                <w:rFonts w:ascii="Calibri" w:hAnsi="Calibri" w:cs="Calibri"/>
                <w:color w:val="000000"/>
              </w:rPr>
            </w:pPr>
            <w:r>
              <w:rPr>
                <w:rFonts w:ascii="Calibri" w:hAnsi="Calibri" w:cs="Calibri"/>
                <w:color w:val="000000"/>
              </w:rPr>
              <w:t xml:space="preserve">Lab Activities: Develop skills needed to carry out experimental and investigational work. Plot data on a graph and evaluate the relationships between the manipulated and responding variables. Manipulate equipment and measuring devices in a manner that maximizes the accuracy of data gathered. </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3F2BB726" w:rsidR="009817AF" w:rsidRPr="0026633E" w:rsidRDefault="0026633E" w:rsidP="00F20A78">
            <w:pPr>
              <w:rPr>
                <w:rFonts w:ascii="Calibri" w:hAnsi="Calibri" w:cs="Calibri"/>
                <w:i/>
                <w:color w:val="000000"/>
              </w:rPr>
            </w:pPr>
            <w:r w:rsidRPr="0026633E">
              <w:rPr>
                <w:rFonts w:ascii="Calibri" w:hAnsi="Calibri" w:cs="Calibri"/>
                <w:i/>
                <w:color w:val="000000"/>
              </w:rPr>
              <w:t>Literacy in Science</w:t>
            </w:r>
          </w:p>
        </w:tc>
      </w:tr>
      <w:tr w:rsidR="008212C9" w:rsidRPr="00941F7E" w14:paraId="46FF9A79" w14:textId="77777777" w:rsidTr="001B272C">
        <w:tc>
          <w:tcPr>
            <w:tcW w:w="925" w:type="dxa"/>
            <w:tcBorders>
              <w:top w:val="single" w:sz="8" w:space="0" w:color="404040" w:themeColor="text1" w:themeTint="BF"/>
            </w:tcBorders>
            <w:shd w:val="clear" w:color="auto" w:fill="auto"/>
            <w:vAlign w:val="center"/>
          </w:tcPr>
          <w:p w14:paraId="43882566" w14:textId="11A76606" w:rsidR="008212C9" w:rsidRPr="00990599" w:rsidRDefault="0013374A" w:rsidP="008212C9">
            <w:pPr>
              <w:spacing w:before="60" w:after="60"/>
              <w:contextualSpacing/>
              <w:rPr>
                <w:rFonts w:cstheme="minorHAnsi"/>
              </w:rPr>
            </w:pPr>
            <w:r>
              <w:rPr>
                <w:rFonts w:ascii="Calibri" w:hAnsi="Calibri" w:cs="Calibri"/>
                <w:color w:val="000000"/>
              </w:rPr>
              <w:t>11-12. RST.1</w:t>
            </w:r>
          </w:p>
        </w:tc>
        <w:tc>
          <w:tcPr>
            <w:tcW w:w="9865" w:type="dxa"/>
            <w:gridSpan w:val="2"/>
            <w:tcBorders>
              <w:top w:val="single" w:sz="8" w:space="0" w:color="404040" w:themeColor="text1" w:themeTint="BF"/>
            </w:tcBorders>
            <w:shd w:val="clear" w:color="auto" w:fill="auto"/>
            <w:vAlign w:val="bottom"/>
          </w:tcPr>
          <w:p w14:paraId="590F9CCF" w14:textId="4306DE03" w:rsidR="008212C9" w:rsidRPr="00941F7E" w:rsidRDefault="008212C9" w:rsidP="008212C9">
            <w:pPr>
              <w:autoSpaceDE w:val="0"/>
              <w:autoSpaceDN w:val="0"/>
              <w:adjustRightInd w:val="0"/>
              <w:spacing w:before="60" w:after="60"/>
              <w:contextualSpacing/>
              <w:rPr>
                <w:rFonts w:cstheme="minorHAnsi"/>
                <w:noProof/>
              </w:rPr>
            </w:pPr>
            <w:r>
              <w:rPr>
                <w:rFonts w:ascii="Calibri" w:hAnsi="Calibri" w:cs="Calibri"/>
                <w:color w:val="000000"/>
              </w:rPr>
              <w:t xml:space="preserve">Cite specific textual evidence to support analysis of science and technical texts, attending to important distinctions the author makes and to any gaps or inconsistencies in the account. </w:t>
            </w:r>
          </w:p>
        </w:tc>
      </w:tr>
      <w:tr w:rsidR="008212C9" w:rsidRPr="00941F7E" w14:paraId="16714C91" w14:textId="77777777" w:rsidTr="001B272C">
        <w:tc>
          <w:tcPr>
            <w:tcW w:w="925" w:type="dxa"/>
            <w:shd w:val="clear" w:color="auto" w:fill="auto"/>
            <w:vAlign w:val="center"/>
          </w:tcPr>
          <w:p w14:paraId="56D5F5AA" w14:textId="5E01A422" w:rsidR="008212C9" w:rsidRPr="00990599" w:rsidRDefault="0013374A" w:rsidP="008212C9">
            <w:pPr>
              <w:spacing w:before="60" w:after="60"/>
              <w:contextualSpacing/>
              <w:rPr>
                <w:rFonts w:cstheme="minorHAnsi"/>
              </w:rPr>
            </w:pPr>
            <w:r>
              <w:rPr>
                <w:rFonts w:ascii="Calibri" w:hAnsi="Calibri" w:cs="Calibri"/>
                <w:color w:val="000000"/>
              </w:rPr>
              <w:t>11-12. RST.2</w:t>
            </w:r>
          </w:p>
        </w:tc>
        <w:tc>
          <w:tcPr>
            <w:tcW w:w="9865" w:type="dxa"/>
            <w:gridSpan w:val="2"/>
            <w:shd w:val="clear" w:color="auto" w:fill="auto"/>
            <w:vAlign w:val="bottom"/>
          </w:tcPr>
          <w:p w14:paraId="693E4F33" w14:textId="1E3FE805" w:rsidR="008212C9" w:rsidRPr="00941F7E" w:rsidRDefault="008212C9" w:rsidP="008212C9">
            <w:pPr>
              <w:autoSpaceDE w:val="0"/>
              <w:autoSpaceDN w:val="0"/>
              <w:adjustRightInd w:val="0"/>
              <w:spacing w:before="60" w:after="60"/>
              <w:contextualSpacing/>
              <w:rPr>
                <w:rFonts w:cstheme="minorHAnsi"/>
                <w:noProof/>
              </w:rPr>
            </w:pPr>
            <w:r>
              <w:rPr>
                <w:rFonts w:ascii="Calibri" w:hAnsi="Calibri" w:cs="Calibri"/>
                <w:color w:val="000000"/>
              </w:rPr>
              <w:t>Determine the central ideas or conclusions of a text; summarize complex concepts, processes, or information presented in a text by paraphrasing them in simpler but still accurate terms.</w:t>
            </w:r>
          </w:p>
        </w:tc>
      </w:tr>
      <w:tr w:rsidR="008212C9" w14:paraId="7AA45C09" w14:textId="77777777" w:rsidTr="001B272C">
        <w:tc>
          <w:tcPr>
            <w:tcW w:w="925" w:type="dxa"/>
            <w:shd w:val="clear" w:color="auto" w:fill="auto"/>
            <w:vAlign w:val="center"/>
          </w:tcPr>
          <w:p w14:paraId="139325E1" w14:textId="2BFBD87D" w:rsidR="008212C9" w:rsidRDefault="0013374A" w:rsidP="008212C9">
            <w:pPr>
              <w:spacing w:before="60" w:after="60"/>
              <w:contextualSpacing/>
              <w:rPr>
                <w:rFonts w:cstheme="minorHAnsi"/>
              </w:rPr>
            </w:pPr>
            <w:r>
              <w:rPr>
                <w:rFonts w:ascii="Calibri" w:hAnsi="Calibri" w:cs="Calibri"/>
                <w:color w:val="000000"/>
              </w:rPr>
              <w:t>11-12 RST.3</w:t>
            </w:r>
          </w:p>
        </w:tc>
        <w:tc>
          <w:tcPr>
            <w:tcW w:w="9865" w:type="dxa"/>
            <w:gridSpan w:val="2"/>
            <w:shd w:val="clear" w:color="auto" w:fill="auto"/>
            <w:vAlign w:val="center"/>
          </w:tcPr>
          <w:p w14:paraId="0F20DBFE" w14:textId="1E9A9967" w:rsidR="008212C9" w:rsidRDefault="008212C9" w:rsidP="008212C9">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Follow precisely a complex multistep procedure when carrying out experiments, taking measurements, or performing technical tasks; analyze the specific results based on explanations in the text.</w:t>
            </w:r>
          </w:p>
        </w:tc>
      </w:tr>
      <w:tr w:rsidR="008212C9" w14:paraId="5AE6B2EA" w14:textId="77777777" w:rsidTr="001B272C">
        <w:tc>
          <w:tcPr>
            <w:tcW w:w="925" w:type="dxa"/>
            <w:shd w:val="clear" w:color="auto" w:fill="auto"/>
            <w:vAlign w:val="center"/>
          </w:tcPr>
          <w:p w14:paraId="575B6634" w14:textId="77777777" w:rsidR="0013374A" w:rsidRDefault="0013374A" w:rsidP="008212C9">
            <w:pPr>
              <w:spacing w:before="60" w:after="60"/>
              <w:contextualSpacing/>
              <w:rPr>
                <w:rFonts w:ascii="Calibri" w:hAnsi="Calibri" w:cs="Calibri"/>
                <w:color w:val="000000"/>
              </w:rPr>
            </w:pPr>
            <w:r>
              <w:rPr>
                <w:rFonts w:ascii="Calibri" w:hAnsi="Calibri" w:cs="Calibri"/>
                <w:color w:val="000000"/>
              </w:rPr>
              <w:t>11-12.</w:t>
            </w:r>
          </w:p>
          <w:p w14:paraId="4AE1AA4F" w14:textId="44930609" w:rsidR="008212C9" w:rsidRDefault="0013374A" w:rsidP="008212C9">
            <w:pPr>
              <w:spacing w:before="60" w:after="60"/>
              <w:contextualSpacing/>
              <w:rPr>
                <w:rFonts w:cstheme="minorHAnsi"/>
              </w:rPr>
            </w:pPr>
            <w:r>
              <w:rPr>
                <w:rFonts w:ascii="Calibri" w:hAnsi="Calibri" w:cs="Calibri"/>
                <w:color w:val="000000"/>
              </w:rPr>
              <w:t>RST.4</w:t>
            </w:r>
          </w:p>
        </w:tc>
        <w:tc>
          <w:tcPr>
            <w:tcW w:w="9865" w:type="dxa"/>
            <w:gridSpan w:val="2"/>
            <w:shd w:val="clear" w:color="auto" w:fill="auto"/>
            <w:vAlign w:val="bottom"/>
          </w:tcPr>
          <w:p w14:paraId="4E4F7FCD" w14:textId="422E0347" w:rsidR="008212C9" w:rsidRDefault="008212C9" w:rsidP="008212C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Determine the meaning of symbols, key terms, and other domain-specific words and phrases as they are used in a specific scientific or technical context relevant to grades 11-12 texts and topics. </w:t>
            </w:r>
          </w:p>
        </w:tc>
      </w:tr>
      <w:tr w:rsidR="008212C9" w14:paraId="71B0330F" w14:textId="77777777" w:rsidTr="001B272C">
        <w:tc>
          <w:tcPr>
            <w:tcW w:w="925" w:type="dxa"/>
            <w:shd w:val="clear" w:color="auto" w:fill="auto"/>
            <w:vAlign w:val="center"/>
          </w:tcPr>
          <w:p w14:paraId="21BB3FAD" w14:textId="6F06466A" w:rsidR="008212C9" w:rsidRDefault="0013374A" w:rsidP="008212C9">
            <w:pPr>
              <w:spacing w:before="60" w:after="60"/>
              <w:contextualSpacing/>
              <w:rPr>
                <w:rFonts w:cstheme="minorHAnsi"/>
              </w:rPr>
            </w:pPr>
            <w:r>
              <w:rPr>
                <w:rFonts w:ascii="Calibri" w:hAnsi="Calibri" w:cs="Calibri"/>
                <w:color w:val="000000"/>
              </w:rPr>
              <w:t>11-12.</w:t>
            </w:r>
            <w:r w:rsidR="001B272C">
              <w:rPr>
                <w:rFonts w:ascii="Calibri" w:hAnsi="Calibri" w:cs="Calibri"/>
                <w:color w:val="000000"/>
              </w:rPr>
              <w:t xml:space="preserve"> </w:t>
            </w:r>
            <w:r>
              <w:rPr>
                <w:rFonts w:ascii="Calibri" w:hAnsi="Calibri" w:cs="Calibri"/>
                <w:color w:val="000000"/>
              </w:rPr>
              <w:t>RST.7</w:t>
            </w:r>
          </w:p>
        </w:tc>
        <w:tc>
          <w:tcPr>
            <w:tcW w:w="9865" w:type="dxa"/>
            <w:gridSpan w:val="2"/>
            <w:shd w:val="clear" w:color="auto" w:fill="auto"/>
            <w:vAlign w:val="bottom"/>
          </w:tcPr>
          <w:p w14:paraId="27869934" w14:textId="4E7BA39C" w:rsidR="008212C9" w:rsidRDefault="008212C9" w:rsidP="008212C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Integrate and evaluate multiple sources of information presented in diverse formats and media (e.g., quantitative data, video, multimedia) in order to address a question or solve a problem. </w:t>
            </w:r>
          </w:p>
        </w:tc>
      </w:tr>
      <w:tr w:rsidR="008212C9" w14:paraId="17BFC8BC" w14:textId="77777777" w:rsidTr="001B272C">
        <w:tc>
          <w:tcPr>
            <w:tcW w:w="925" w:type="dxa"/>
            <w:shd w:val="clear" w:color="auto" w:fill="auto"/>
            <w:vAlign w:val="center"/>
          </w:tcPr>
          <w:p w14:paraId="6F547213" w14:textId="6BAEDE8B" w:rsidR="008212C9" w:rsidRDefault="0013374A" w:rsidP="008212C9">
            <w:pPr>
              <w:spacing w:before="60" w:after="60"/>
              <w:contextualSpacing/>
              <w:rPr>
                <w:rFonts w:cstheme="minorHAnsi"/>
              </w:rPr>
            </w:pPr>
            <w:r>
              <w:rPr>
                <w:rFonts w:ascii="Calibri" w:hAnsi="Calibri" w:cs="Calibri"/>
                <w:color w:val="000000"/>
              </w:rPr>
              <w:t>11-12. WHST.1</w:t>
            </w:r>
          </w:p>
        </w:tc>
        <w:tc>
          <w:tcPr>
            <w:tcW w:w="9865" w:type="dxa"/>
            <w:gridSpan w:val="2"/>
            <w:shd w:val="clear" w:color="auto" w:fill="auto"/>
            <w:vAlign w:val="bottom"/>
          </w:tcPr>
          <w:p w14:paraId="15A9376B" w14:textId="7E28061B" w:rsidR="008212C9" w:rsidRDefault="008212C9" w:rsidP="008212C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Write arguments focused on discipline-specific content. a. Introduce precise, knowledgeable claim(s), establish the significance of the claim(s), distinguish the claim(s) from alternate or opposing claims, and create an organization that logically sequences the claim(s), counterclaims, reasons, and evidence. b. 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or supports the argument presented. </w:t>
            </w:r>
          </w:p>
        </w:tc>
      </w:tr>
      <w:tr w:rsidR="008212C9" w14:paraId="78A8B0B1" w14:textId="77777777" w:rsidTr="001B272C">
        <w:tc>
          <w:tcPr>
            <w:tcW w:w="925" w:type="dxa"/>
            <w:shd w:val="clear" w:color="auto" w:fill="auto"/>
            <w:vAlign w:val="center"/>
          </w:tcPr>
          <w:p w14:paraId="5BAD0761" w14:textId="2E9C6A37" w:rsidR="008212C9" w:rsidRDefault="0013374A" w:rsidP="008212C9">
            <w:pPr>
              <w:spacing w:before="60" w:after="60"/>
              <w:contextualSpacing/>
              <w:rPr>
                <w:rFonts w:cstheme="minorHAnsi"/>
              </w:rPr>
            </w:pPr>
            <w:r>
              <w:rPr>
                <w:rFonts w:ascii="Calibri" w:hAnsi="Calibri" w:cs="Calibri"/>
                <w:color w:val="000000"/>
              </w:rPr>
              <w:t>11-12. WHST.4</w:t>
            </w:r>
          </w:p>
        </w:tc>
        <w:tc>
          <w:tcPr>
            <w:tcW w:w="9865" w:type="dxa"/>
            <w:gridSpan w:val="2"/>
            <w:shd w:val="clear" w:color="auto" w:fill="auto"/>
            <w:vAlign w:val="bottom"/>
          </w:tcPr>
          <w:p w14:paraId="1800FAF8" w14:textId="73B51766" w:rsidR="008212C9" w:rsidRDefault="008212C9" w:rsidP="008212C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Produce clear and coherent writing in which the development, organization, and style are appropriate to task, purpose, and audience. </w:t>
            </w:r>
          </w:p>
        </w:tc>
      </w:tr>
      <w:tr w:rsidR="008212C9" w14:paraId="6945723B" w14:textId="77777777" w:rsidTr="001B272C">
        <w:tc>
          <w:tcPr>
            <w:tcW w:w="925" w:type="dxa"/>
            <w:shd w:val="clear" w:color="auto" w:fill="auto"/>
            <w:vAlign w:val="center"/>
          </w:tcPr>
          <w:p w14:paraId="0E6BD164" w14:textId="41A3933A" w:rsidR="008212C9" w:rsidRDefault="0013374A" w:rsidP="008212C9">
            <w:pPr>
              <w:spacing w:before="60" w:after="60"/>
              <w:contextualSpacing/>
              <w:rPr>
                <w:rFonts w:cstheme="minorHAnsi"/>
              </w:rPr>
            </w:pPr>
            <w:r>
              <w:rPr>
                <w:rFonts w:ascii="Calibri" w:hAnsi="Calibri" w:cs="Calibri"/>
                <w:color w:val="000000"/>
              </w:rPr>
              <w:t>11-12. WHST.8</w:t>
            </w:r>
          </w:p>
        </w:tc>
        <w:tc>
          <w:tcPr>
            <w:tcW w:w="9865" w:type="dxa"/>
            <w:gridSpan w:val="2"/>
            <w:shd w:val="clear" w:color="auto" w:fill="auto"/>
            <w:vAlign w:val="bottom"/>
          </w:tcPr>
          <w:p w14:paraId="594C9037" w14:textId="4D48B1D0" w:rsidR="008212C9" w:rsidRDefault="008212C9" w:rsidP="008212C9">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3415B1CF"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3A21C1">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4D8A"/>
    <w:rsid w:val="00006875"/>
    <w:rsid w:val="0001423C"/>
    <w:rsid w:val="00014880"/>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878"/>
    <w:rsid w:val="000F6ED9"/>
    <w:rsid w:val="001068E6"/>
    <w:rsid w:val="001150FD"/>
    <w:rsid w:val="00122C74"/>
    <w:rsid w:val="00123BF6"/>
    <w:rsid w:val="00131E56"/>
    <w:rsid w:val="0013374A"/>
    <w:rsid w:val="00141C3B"/>
    <w:rsid w:val="00147B80"/>
    <w:rsid w:val="0016076F"/>
    <w:rsid w:val="00160CAA"/>
    <w:rsid w:val="00174BF6"/>
    <w:rsid w:val="00176587"/>
    <w:rsid w:val="00177629"/>
    <w:rsid w:val="00185E41"/>
    <w:rsid w:val="00186316"/>
    <w:rsid w:val="0019539C"/>
    <w:rsid w:val="001A077E"/>
    <w:rsid w:val="001B272C"/>
    <w:rsid w:val="001C2962"/>
    <w:rsid w:val="001D1729"/>
    <w:rsid w:val="001D4F85"/>
    <w:rsid w:val="001D5205"/>
    <w:rsid w:val="001E0D7F"/>
    <w:rsid w:val="001E36EA"/>
    <w:rsid w:val="001F0D8A"/>
    <w:rsid w:val="001F3533"/>
    <w:rsid w:val="001F4A33"/>
    <w:rsid w:val="00214607"/>
    <w:rsid w:val="00217BF0"/>
    <w:rsid w:val="002213EF"/>
    <w:rsid w:val="00226A60"/>
    <w:rsid w:val="00227086"/>
    <w:rsid w:val="002327DD"/>
    <w:rsid w:val="00250530"/>
    <w:rsid w:val="0025308B"/>
    <w:rsid w:val="00260A01"/>
    <w:rsid w:val="0026161B"/>
    <w:rsid w:val="00265CE6"/>
    <w:rsid w:val="0026633E"/>
    <w:rsid w:val="00273E71"/>
    <w:rsid w:val="00286478"/>
    <w:rsid w:val="00290947"/>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21C1"/>
    <w:rsid w:val="003A7F96"/>
    <w:rsid w:val="003B1734"/>
    <w:rsid w:val="003B4C89"/>
    <w:rsid w:val="003B559C"/>
    <w:rsid w:val="003C3C9E"/>
    <w:rsid w:val="003D399E"/>
    <w:rsid w:val="003D4829"/>
    <w:rsid w:val="003E380B"/>
    <w:rsid w:val="003F4865"/>
    <w:rsid w:val="00401CEC"/>
    <w:rsid w:val="00402F48"/>
    <w:rsid w:val="00413BDC"/>
    <w:rsid w:val="00415669"/>
    <w:rsid w:val="0042520B"/>
    <w:rsid w:val="00437FA3"/>
    <w:rsid w:val="004571D3"/>
    <w:rsid w:val="00457B2F"/>
    <w:rsid w:val="0046314B"/>
    <w:rsid w:val="0046530E"/>
    <w:rsid w:val="00473154"/>
    <w:rsid w:val="00473927"/>
    <w:rsid w:val="00480FC3"/>
    <w:rsid w:val="00481DE6"/>
    <w:rsid w:val="004B3DFB"/>
    <w:rsid w:val="004B5331"/>
    <w:rsid w:val="004B7D65"/>
    <w:rsid w:val="004C0926"/>
    <w:rsid w:val="004C222D"/>
    <w:rsid w:val="004D1BA1"/>
    <w:rsid w:val="004F5870"/>
    <w:rsid w:val="004F7CF7"/>
    <w:rsid w:val="0050073D"/>
    <w:rsid w:val="00510E05"/>
    <w:rsid w:val="005141FB"/>
    <w:rsid w:val="00520754"/>
    <w:rsid w:val="005209DD"/>
    <w:rsid w:val="00521757"/>
    <w:rsid w:val="00523936"/>
    <w:rsid w:val="00525EC4"/>
    <w:rsid w:val="00530DBD"/>
    <w:rsid w:val="00531B20"/>
    <w:rsid w:val="0054209D"/>
    <w:rsid w:val="00542767"/>
    <w:rsid w:val="00550766"/>
    <w:rsid w:val="00557A9C"/>
    <w:rsid w:val="005618A4"/>
    <w:rsid w:val="005678F9"/>
    <w:rsid w:val="005679B1"/>
    <w:rsid w:val="00570AE1"/>
    <w:rsid w:val="005761CD"/>
    <w:rsid w:val="0057782D"/>
    <w:rsid w:val="0058391A"/>
    <w:rsid w:val="00585D9D"/>
    <w:rsid w:val="005877F6"/>
    <w:rsid w:val="00593E2A"/>
    <w:rsid w:val="005A2927"/>
    <w:rsid w:val="005C26D1"/>
    <w:rsid w:val="005D69AE"/>
    <w:rsid w:val="005E2A63"/>
    <w:rsid w:val="005F3C4D"/>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A3BA0"/>
    <w:rsid w:val="006B04F1"/>
    <w:rsid w:val="006B2983"/>
    <w:rsid w:val="006B2FE5"/>
    <w:rsid w:val="006B5623"/>
    <w:rsid w:val="006C07A5"/>
    <w:rsid w:val="006C3019"/>
    <w:rsid w:val="006C50CF"/>
    <w:rsid w:val="006F69F1"/>
    <w:rsid w:val="006F6ABB"/>
    <w:rsid w:val="007020C2"/>
    <w:rsid w:val="0070767E"/>
    <w:rsid w:val="0072796B"/>
    <w:rsid w:val="00733E7E"/>
    <w:rsid w:val="007431B6"/>
    <w:rsid w:val="007469C3"/>
    <w:rsid w:val="00756ED6"/>
    <w:rsid w:val="00762886"/>
    <w:rsid w:val="007628F2"/>
    <w:rsid w:val="00765298"/>
    <w:rsid w:val="00766EFC"/>
    <w:rsid w:val="00782334"/>
    <w:rsid w:val="0078281C"/>
    <w:rsid w:val="00784050"/>
    <w:rsid w:val="007C105D"/>
    <w:rsid w:val="007C4F4D"/>
    <w:rsid w:val="007E16FA"/>
    <w:rsid w:val="00811AA2"/>
    <w:rsid w:val="00811D2A"/>
    <w:rsid w:val="00816E99"/>
    <w:rsid w:val="00817384"/>
    <w:rsid w:val="008212C9"/>
    <w:rsid w:val="008221D0"/>
    <w:rsid w:val="00823181"/>
    <w:rsid w:val="0082351B"/>
    <w:rsid w:val="008262F7"/>
    <w:rsid w:val="00843C33"/>
    <w:rsid w:val="00853D42"/>
    <w:rsid w:val="00870006"/>
    <w:rsid w:val="00871B78"/>
    <w:rsid w:val="00881D00"/>
    <w:rsid w:val="008934FD"/>
    <w:rsid w:val="008A24FC"/>
    <w:rsid w:val="008A2BD7"/>
    <w:rsid w:val="008B17B8"/>
    <w:rsid w:val="008C0FCA"/>
    <w:rsid w:val="008C1B95"/>
    <w:rsid w:val="008C39A4"/>
    <w:rsid w:val="008C5BD0"/>
    <w:rsid w:val="008D1F97"/>
    <w:rsid w:val="008E29CC"/>
    <w:rsid w:val="008E6A5C"/>
    <w:rsid w:val="008F06D8"/>
    <w:rsid w:val="008F3408"/>
    <w:rsid w:val="00907154"/>
    <w:rsid w:val="00910E7E"/>
    <w:rsid w:val="00917270"/>
    <w:rsid w:val="0092093A"/>
    <w:rsid w:val="009238DC"/>
    <w:rsid w:val="0093529B"/>
    <w:rsid w:val="009408A9"/>
    <w:rsid w:val="00941F7E"/>
    <w:rsid w:val="009455C7"/>
    <w:rsid w:val="009515E0"/>
    <w:rsid w:val="009612C1"/>
    <w:rsid w:val="00961B0C"/>
    <w:rsid w:val="00964BB1"/>
    <w:rsid w:val="00967610"/>
    <w:rsid w:val="00970B65"/>
    <w:rsid w:val="009777CE"/>
    <w:rsid w:val="00977BF5"/>
    <w:rsid w:val="009817AF"/>
    <w:rsid w:val="0098507B"/>
    <w:rsid w:val="00990599"/>
    <w:rsid w:val="009A27B0"/>
    <w:rsid w:val="009A52E4"/>
    <w:rsid w:val="009A654C"/>
    <w:rsid w:val="009B5AE1"/>
    <w:rsid w:val="009B6F71"/>
    <w:rsid w:val="009C012F"/>
    <w:rsid w:val="009C2D8E"/>
    <w:rsid w:val="009D20CE"/>
    <w:rsid w:val="00A02D36"/>
    <w:rsid w:val="00A242CF"/>
    <w:rsid w:val="00A26C06"/>
    <w:rsid w:val="00A27B6D"/>
    <w:rsid w:val="00A316BA"/>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069FE"/>
    <w:rsid w:val="00B114B4"/>
    <w:rsid w:val="00B17C67"/>
    <w:rsid w:val="00B17F6C"/>
    <w:rsid w:val="00B22FF2"/>
    <w:rsid w:val="00B256EA"/>
    <w:rsid w:val="00B54415"/>
    <w:rsid w:val="00B63D0B"/>
    <w:rsid w:val="00B709CE"/>
    <w:rsid w:val="00B83604"/>
    <w:rsid w:val="00B872A5"/>
    <w:rsid w:val="00B97092"/>
    <w:rsid w:val="00BA2F75"/>
    <w:rsid w:val="00BA5B5B"/>
    <w:rsid w:val="00BC42A7"/>
    <w:rsid w:val="00BD7FF7"/>
    <w:rsid w:val="00BE2D62"/>
    <w:rsid w:val="00BE2FB3"/>
    <w:rsid w:val="00BF10A6"/>
    <w:rsid w:val="00BF33F5"/>
    <w:rsid w:val="00BF5009"/>
    <w:rsid w:val="00BF7E48"/>
    <w:rsid w:val="00C0049A"/>
    <w:rsid w:val="00C05C27"/>
    <w:rsid w:val="00C1239C"/>
    <w:rsid w:val="00C14569"/>
    <w:rsid w:val="00C22081"/>
    <w:rsid w:val="00C236C3"/>
    <w:rsid w:val="00C264F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D03650"/>
    <w:rsid w:val="00D03B3F"/>
    <w:rsid w:val="00D05D54"/>
    <w:rsid w:val="00D1141F"/>
    <w:rsid w:val="00D124E2"/>
    <w:rsid w:val="00D157A9"/>
    <w:rsid w:val="00D15D31"/>
    <w:rsid w:val="00D1658A"/>
    <w:rsid w:val="00D21124"/>
    <w:rsid w:val="00D21C71"/>
    <w:rsid w:val="00D24DF5"/>
    <w:rsid w:val="00D27359"/>
    <w:rsid w:val="00D316B9"/>
    <w:rsid w:val="00D34BC5"/>
    <w:rsid w:val="00D42D2D"/>
    <w:rsid w:val="00D46753"/>
    <w:rsid w:val="00D53C89"/>
    <w:rsid w:val="00D60652"/>
    <w:rsid w:val="00D63AA4"/>
    <w:rsid w:val="00D66AFA"/>
    <w:rsid w:val="00D70FF6"/>
    <w:rsid w:val="00D75AD2"/>
    <w:rsid w:val="00D866FE"/>
    <w:rsid w:val="00D93EAF"/>
    <w:rsid w:val="00DA0EB5"/>
    <w:rsid w:val="00DB57A3"/>
    <w:rsid w:val="00DC0278"/>
    <w:rsid w:val="00DC0B2E"/>
    <w:rsid w:val="00DD2D28"/>
    <w:rsid w:val="00DD7275"/>
    <w:rsid w:val="00DE5976"/>
    <w:rsid w:val="00DF20D0"/>
    <w:rsid w:val="00E00EC6"/>
    <w:rsid w:val="00E01C04"/>
    <w:rsid w:val="00E0369A"/>
    <w:rsid w:val="00E04C65"/>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27612"/>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68575267">
      <w:bodyDiv w:val="1"/>
      <w:marLeft w:val="0"/>
      <w:marRight w:val="0"/>
      <w:marTop w:val="0"/>
      <w:marBottom w:val="0"/>
      <w:divBdr>
        <w:top w:val="none" w:sz="0" w:space="0" w:color="auto"/>
        <w:left w:val="none" w:sz="0" w:space="0" w:color="auto"/>
        <w:bottom w:val="none" w:sz="0" w:space="0" w:color="auto"/>
        <w:right w:val="none" w:sz="0" w:space="0" w:color="auto"/>
      </w:divBdr>
    </w:div>
    <w:div w:id="82383433">
      <w:bodyDiv w:val="1"/>
      <w:marLeft w:val="0"/>
      <w:marRight w:val="0"/>
      <w:marTop w:val="0"/>
      <w:marBottom w:val="0"/>
      <w:divBdr>
        <w:top w:val="none" w:sz="0" w:space="0" w:color="auto"/>
        <w:left w:val="none" w:sz="0" w:space="0" w:color="auto"/>
        <w:bottom w:val="none" w:sz="0" w:space="0" w:color="auto"/>
        <w:right w:val="none" w:sz="0" w:space="0" w:color="auto"/>
      </w:divBdr>
    </w:div>
    <w:div w:id="100732569">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5170776">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282730072">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54814982">
      <w:bodyDiv w:val="1"/>
      <w:marLeft w:val="0"/>
      <w:marRight w:val="0"/>
      <w:marTop w:val="0"/>
      <w:marBottom w:val="0"/>
      <w:divBdr>
        <w:top w:val="none" w:sz="0" w:space="0" w:color="auto"/>
        <w:left w:val="none" w:sz="0" w:space="0" w:color="auto"/>
        <w:bottom w:val="none" w:sz="0" w:space="0" w:color="auto"/>
        <w:right w:val="none" w:sz="0" w:space="0" w:color="auto"/>
      </w:divBdr>
    </w:div>
    <w:div w:id="371155969">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443965264">
      <w:bodyDiv w:val="1"/>
      <w:marLeft w:val="0"/>
      <w:marRight w:val="0"/>
      <w:marTop w:val="0"/>
      <w:marBottom w:val="0"/>
      <w:divBdr>
        <w:top w:val="none" w:sz="0" w:space="0" w:color="auto"/>
        <w:left w:val="none" w:sz="0" w:space="0" w:color="auto"/>
        <w:bottom w:val="none" w:sz="0" w:space="0" w:color="auto"/>
        <w:right w:val="none" w:sz="0" w:space="0" w:color="auto"/>
      </w:divBdr>
    </w:div>
    <w:div w:id="457912910">
      <w:bodyDiv w:val="1"/>
      <w:marLeft w:val="0"/>
      <w:marRight w:val="0"/>
      <w:marTop w:val="0"/>
      <w:marBottom w:val="0"/>
      <w:divBdr>
        <w:top w:val="none" w:sz="0" w:space="0" w:color="auto"/>
        <w:left w:val="none" w:sz="0" w:space="0" w:color="auto"/>
        <w:bottom w:val="none" w:sz="0" w:space="0" w:color="auto"/>
        <w:right w:val="none" w:sz="0" w:space="0" w:color="auto"/>
      </w:divBdr>
    </w:div>
    <w:div w:id="476340354">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578714513">
      <w:bodyDiv w:val="1"/>
      <w:marLeft w:val="0"/>
      <w:marRight w:val="0"/>
      <w:marTop w:val="0"/>
      <w:marBottom w:val="0"/>
      <w:divBdr>
        <w:top w:val="none" w:sz="0" w:space="0" w:color="auto"/>
        <w:left w:val="none" w:sz="0" w:space="0" w:color="auto"/>
        <w:bottom w:val="none" w:sz="0" w:space="0" w:color="auto"/>
        <w:right w:val="none" w:sz="0" w:space="0" w:color="auto"/>
      </w:divBdr>
    </w:div>
    <w:div w:id="586694089">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34608537">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23992996">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71121310">
      <w:bodyDiv w:val="1"/>
      <w:marLeft w:val="0"/>
      <w:marRight w:val="0"/>
      <w:marTop w:val="0"/>
      <w:marBottom w:val="0"/>
      <w:divBdr>
        <w:top w:val="none" w:sz="0" w:space="0" w:color="auto"/>
        <w:left w:val="none" w:sz="0" w:space="0" w:color="auto"/>
        <w:bottom w:val="none" w:sz="0" w:space="0" w:color="auto"/>
        <w:right w:val="none" w:sz="0" w:space="0" w:color="auto"/>
      </w:divBdr>
    </w:div>
    <w:div w:id="791288224">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77087991">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1031295564">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132093866">
      <w:bodyDiv w:val="1"/>
      <w:marLeft w:val="0"/>
      <w:marRight w:val="0"/>
      <w:marTop w:val="0"/>
      <w:marBottom w:val="0"/>
      <w:divBdr>
        <w:top w:val="none" w:sz="0" w:space="0" w:color="auto"/>
        <w:left w:val="none" w:sz="0" w:space="0" w:color="auto"/>
        <w:bottom w:val="none" w:sz="0" w:space="0" w:color="auto"/>
        <w:right w:val="none" w:sz="0" w:space="0" w:color="auto"/>
      </w:divBdr>
    </w:div>
    <w:div w:id="1167332162">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31637969">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18693302">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612860229">
      <w:bodyDiv w:val="1"/>
      <w:marLeft w:val="0"/>
      <w:marRight w:val="0"/>
      <w:marTop w:val="0"/>
      <w:marBottom w:val="0"/>
      <w:divBdr>
        <w:top w:val="none" w:sz="0" w:space="0" w:color="auto"/>
        <w:left w:val="none" w:sz="0" w:space="0" w:color="auto"/>
        <w:bottom w:val="none" w:sz="0" w:space="0" w:color="auto"/>
        <w:right w:val="none" w:sz="0" w:space="0" w:color="auto"/>
      </w:divBdr>
    </w:div>
    <w:div w:id="1644193250">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666931846">
      <w:bodyDiv w:val="1"/>
      <w:marLeft w:val="0"/>
      <w:marRight w:val="0"/>
      <w:marTop w:val="0"/>
      <w:marBottom w:val="0"/>
      <w:divBdr>
        <w:top w:val="none" w:sz="0" w:space="0" w:color="auto"/>
        <w:left w:val="none" w:sz="0" w:space="0" w:color="auto"/>
        <w:bottom w:val="none" w:sz="0" w:space="0" w:color="auto"/>
        <w:right w:val="none" w:sz="0" w:space="0" w:color="auto"/>
      </w:divBdr>
    </w:div>
    <w:div w:id="1677810079">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schemas.microsoft.com/office/2006/documentManagement/types"/>
    <ds:schemaRef ds:uri="http://schemas.microsoft.com/office/infopath/2007/PartnerControls"/>
    <ds:schemaRef ds:uri="http://purl.org/dc/dcmitype/"/>
    <ds:schemaRef ds:uri="http://purl.org/dc/terms/"/>
    <ds:schemaRef ds:uri="6de0b781-56b2-43bc-9d5c-6e3d2f8e259e"/>
    <ds:schemaRef ds:uri="http://schemas.microsoft.com/office/2006/metadata/properties"/>
    <ds:schemaRef ds:uri="http://www.w3.org/XML/1998/namespace"/>
    <ds:schemaRef ds:uri="http://purl.org/dc/elements/1.1/"/>
    <ds:schemaRef ds:uri="http://schemas.openxmlformats.org/package/2006/metadata/core-properties"/>
    <ds:schemaRef ds:uri="f19ad033-83d3-4c24-a0bc-ea978ae32912"/>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2CDD8ACA-DD49-403F-A3B1-ED0814CDEDC2}"/>
</file>

<file path=customXml/itemProps4.xml><?xml version="1.0" encoding="utf-8"?>
<ds:datastoreItem xmlns:ds="http://schemas.openxmlformats.org/officeDocument/2006/customXml" ds:itemID="{0B4FB05E-C6A4-4DF0-8273-93B5CD9F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12</cp:revision>
  <cp:lastPrinted>2015-06-12T15:31:00Z</cp:lastPrinted>
  <dcterms:created xsi:type="dcterms:W3CDTF">2020-08-20T18:14:00Z</dcterms:created>
  <dcterms:modified xsi:type="dcterms:W3CDTF">2020-12-01T19:16:00Z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