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5AE" w:rsidRDefault="002D50DC"/>
    <w:p w:rsidR="002D50DC" w:rsidRDefault="002D50DC"/>
    <w:p w:rsidR="002D50DC" w:rsidRPr="002D50DC" w:rsidRDefault="002D50DC" w:rsidP="002D50DC">
      <w:pPr>
        <w:shd w:val="clear" w:color="auto" w:fill="FFFFFF"/>
        <w:spacing w:line="540" w:lineRule="atLeast"/>
        <w:outlineLvl w:val="0"/>
        <w:rPr>
          <w:rFonts w:ascii="inherit" w:eastAsia="Times New Roman" w:hAnsi="inherit" w:cs="Arial"/>
          <w:b/>
          <w:bCs/>
          <w:color w:val="000000"/>
          <w:kern w:val="36"/>
          <w:sz w:val="60"/>
          <w:szCs w:val="60"/>
        </w:rPr>
      </w:pPr>
      <w:r w:rsidRPr="002D50DC">
        <w:rPr>
          <w:rFonts w:ascii="inherit" w:eastAsia="Times New Roman" w:hAnsi="inherit" w:cs="Arial"/>
          <w:b/>
          <w:bCs/>
          <w:color w:val="000000"/>
          <w:kern w:val="36"/>
          <w:sz w:val="60"/>
          <w:szCs w:val="60"/>
        </w:rPr>
        <w:t>Government Retirement Plans Toolkit</w:t>
      </w:r>
    </w:p>
    <w:p w:rsidR="002D50DC" w:rsidRPr="002D50DC" w:rsidRDefault="002D50DC" w:rsidP="002D50DC">
      <w:pPr>
        <w:shd w:val="clear" w:color="auto" w:fill="FFFFFF"/>
        <w:spacing w:after="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 </w:t>
      </w:r>
      <w:hyperlink r:id="rId5" w:history="1">
        <w:r>
          <w:rPr>
            <w:rStyle w:val="Hyperlink"/>
          </w:rPr>
          <w:t>https://www.irs.gov/government-entities/federal-state-local-governments/government-retirement-plans-toolkit</w:t>
        </w:r>
      </w:hyperlink>
      <w:bookmarkStart w:id="0" w:name="_GoBack"/>
      <w:bookmarkEnd w:id="0"/>
    </w:p>
    <w:p w:rsidR="002D50DC" w:rsidRPr="002D50DC" w:rsidRDefault="002D50DC" w:rsidP="002D50DC">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6" w:tooltip="Individuals" w:history="1">
        <w:r w:rsidRPr="002D50DC">
          <w:rPr>
            <w:rFonts w:ascii="Arial" w:eastAsia="Times New Roman" w:hAnsi="Arial" w:cs="Arial"/>
            <w:b/>
            <w:bCs/>
            <w:color w:val="000000"/>
            <w:sz w:val="24"/>
            <w:szCs w:val="24"/>
            <w:lang w:val="en"/>
          </w:rPr>
          <w:t>Individuals</w:t>
        </w:r>
      </w:hyperlink>
    </w:p>
    <w:p w:rsidR="002D50DC" w:rsidRPr="002D50DC" w:rsidRDefault="002D50DC" w:rsidP="002D50DC">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7" w:tooltip="Businesses and Self-Employed" w:history="1">
        <w:r w:rsidRPr="002D50DC">
          <w:rPr>
            <w:rFonts w:ascii="Arial" w:eastAsia="Times New Roman" w:hAnsi="Arial" w:cs="Arial"/>
            <w:b/>
            <w:bCs/>
            <w:color w:val="000000"/>
            <w:sz w:val="24"/>
            <w:szCs w:val="24"/>
            <w:lang w:val="en"/>
          </w:rPr>
          <w:t>Businesses and Self-Employed</w:t>
        </w:r>
      </w:hyperlink>
    </w:p>
    <w:p w:rsidR="002D50DC" w:rsidRPr="002D50DC" w:rsidRDefault="002D50DC" w:rsidP="002D50DC">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8" w:tooltip="Charities and Nonprofits" w:history="1">
        <w:r w:rsidRPr="002D50DC">
          <w:rPr>
            <w:rFonts w:ascii="Arial" w:eastAsia="Times New Roman" w:hAnsi="Arial" w:cs="Arial"/>
            <w:b/>
            <w:bCs/>
            <w:color w:val="000000"/>
            <w:sz w:val="24"/>
            <w:szCs w:val="24"/>
            <w:lang w:val="en"/>
          </w:rPr>
          <w:t>Charities and Nonprofits</w:t>
        </w:r>
      </w:hyperlink>
    </w:p>
    <w:p w:rsidR="002D50DC" w:rsidRPr="002D50DC" w:rsidRDefault="002D50DC" w:rsidP="002D50DC">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9" w:tooltip="International Taxpayers" w:history="1">
        <w:r w:rsidRPr="002D50DC">
          <w:rPr>
            <w:rFonts w:ascii="Arial" w:eastAsia="Times New Roman" w:hAnsi="Arial" w:cs="Arial"/>
            <w:b/>
            <w:bCs/>
            <w:color w:val="000000"/>
            <w:sz w:val="24"/>
            <w:szCs w:val="24"/>
            <w:lang w:val="en"/>
          </w:rPr>
          <w:t>International Taxpayers</w:t>
        </w:r>
      </w:hyperlink>
    </w:p>
    <w:p w:rsidR="002D50DC" w:rsidRPr="002D50DC" w:rsidRDefault="002D50DC" w:rsidP="002D50DC">
      <w:pPr>
        <w:numPr>
          <w:ilvl w:val="0"/>
          <w:numId w:val="1"/>
        </w:numPr>
        <w:pBdr>
          <w:bottom w:val="single" w:sz="6" w:space="0" w:color="D6D7D9"/>
        </w:pBd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0" w:tooltip="Government Entities" w:history="1">
        <w:r w:rsidRPr="002D50DC">
          <w:rPr>
            <w:rFonts w:ascii="Arial" w:eastAsia="Times New Roman" w:hAnsi="Arial" w:cs="Arial"/>
            <w:b/>
            <w:bCs/>
            <w:color w:val="000000"/>
            <w:sz w:val="24"/>
            <w:szCs w:val="24"/>
            <w:lang w:val="en"/>
          </w:rPr>
          <w:t>Government Entities</w:t>
        </w:r>
      </w:hyperlink>
    </w:p>
    <w:p w:rsidR="002D50DC" w:rsidRPr="002D50DC" w:rsidRDefault="002D50DC" w:rsidP="002D50DC">
      <w:pPr>
        <w:numPr>
          <w:ilvl w:val="1"/>
          <w:numId w:val="1"/>
        </w:numPr>
        <w:pBdr>
          <w:bottom w:val="single" w:sz="6" w:space="0" w:color="D6D7D9"/>
        </w:pBdr>
        <w:shd w:val="clear" w:color="auto" w:fill="FFFFFF"/>
        <w:spacing w:before="100" w:beforeAutospacing="1" w:after="100" w:afterAutospacing="1" w:line="240" w:lineRule="auto"/>
        <w:ind w:left="1215"/>
        <w:rPr>
          <w:rFonts w:ascii="Arial" w:eastAsia="Times New Roman" w:hAnsi="Arial" w:cs="Arial"/>
          <w:color w:val="000000"/>
          <w:sz w:val="24"/>
          <w:szCs w:val="24"/>
        </w:rPr>
      </w:pPr>
      <w:hyperlink r:id="rId11" w:tooltip="Federal State Local Governments" w:history="1">
        <w:r w:rsidRPr="002D50DC">
          <w:rPr>
            <w:rFonts w:ascii="Arial" w:eastAsia="Times New Roman" w:hAnsi="Arial" w:cs="Arial"/>
            <w:color w:val="000000"/>
            <w:sz w:val="24"/>
            <w:szCs w:val="24"/>
            <w:lang w:val="en"/>
          </w:rPr>
          <w:t>Federal State Local Governments</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2" w:tooltip="Getting Started " w:history="1">
        <w:r w:rsidRPr="002D50DC">
          <w:rPr>
            <w:rFonts w:ascii="Arial" w:eastAsia="Times New Roman" w:hAnsi="Arial" w:cs="Arial"/>
            <w:color w:val="000000"/>
            <w:sz w:val="24"/>
            <w:szCs w:val="24"/>
            <w:lang w:val="en"/>
          </w:rPr>
          <w:t>Getting Started </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3" w:tooltip="Information Returns" w:history="1">
        <w:r w:rsidRPr="002D50DC">
          <w:rPr>
            <w:rFonts w:ascii="Arial" w:eastAsia="Times New Roman" w:hAnsi="Arial" w:cs="Arial"/>
            <w:color w:val="000000"/>
            <w:sz w:val="24"/>
            <w:szCs w:val="24"/>
            <w:lang w:val="en"/>
          </w:rPr>
          <w:t>Information Returns</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4" w:tooltip="Employer and Pay Related Issues" w:history="1">
        <w:r w:rsidRPr="002D50DC">
          <w:rPr>
            <w:rFonts w:ascii="Arial" w:eastAsia="Times New Roman" w:hAnsi="Arial" w:cs="Arial"/>
            <w:b/>
            <w:bCs/>
            <w:color w:val="000000"/>
            <w:sz w:val="24"/>
            <w:szCs w:val="24"/>
            <w:shd w:val="clear" w:color="auto" w:fill="E4F3FB"/>
            <w:lang w:val="en"/>
          </w:rPr>
          <w:t>Employer and Pay Related Issues</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5" w:tooltip="After Filing" w:history="1">
        <w:r w:rsidRPr="002D50DC">
          <w:rPr>
            <w:rFonts w:ascii="Arial" w:eastAsia="Times New Roman" w:hAnsi="Arial" w:cs="Arial"/>
            <w:color w:val="000000"/>
            <w:sz w:val="24"/>
            <w:szCs w:val="24"/>
            <w:lang w:val="en"/>
          </w:rPr>
          <w:t>After Filing</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6" w:tooltip="IRS News and Published Guidance" w:history="1">
        <w:r w:rsidRPr="002D50DC">
          <w:rPr>
            <w:rFonts w:ascii="Arial" w:eastAsia="Times New Roman" w:hAnsi="Arial" w:cs="Arial"/>
            <w:color w:val="000000"/>
            <w:sz w:val="24"/>
            <w:szCs w:val="24"/>
            <w:lang w:val="en"/>
          </w:rPr>
          <w:t>IRS News and Published Guidance</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7" w:tooltip="FSLET Customer Services" w:history="1">
        <w:r w:rsidRPr="002D50DC">
          <w:rPr>
            <w:rFonts w:ascii="Arial" w:eastAsia="Times New Roman" w:hAnsi="Arial" w:cs="Arial"/>
            <w:color w:val="000000"/>
            <w:sz w:val="24"/>
            <w:szCs w:val="24"/>
            <w:lang w:val="en"/>
          </w:rPr>
          <w:t>FSLET Customer Services</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8" w:tooltip="FSLET Toolkit" w:history="1">
        <w:r w:rsidRPr="002D50DC">
          <w:rPr>
            <w:rFonts w:ascii="Arial" w:eastAsia="Times New Roman" w:hAnsi="Arial" w:cs="Arial"/>
            <w:color w:val="000000"/>
            <w:sz w:val="24"/>
            <w:szCs w:val="24"/>
            <w:lang w:val="en"/>
          </w:rPr>
          <w:t>FSLET Toolkit</w:t>
        </w:r>
      </w:hyperlink>
    </w:p>
    <w:p w:rsidR="002D50DC" w:rsidRPr="002D50DC" w:rsidRDefault="002D50DC" w:rsidP="002D50DC">
      <w:pPr>
        <w:numPr>
          <w:ilvl w:val="2"/>
          <w:numId w:val="1"/>
        </w:numPr>
        <w:pBdr>
          <w:bottom w:val="single" w:sz="6" w:space="0" w:color="D6D7D9"/>
        </w:pBdr>
        <w:shd w:val="clear" w:color="auto" w:fill="FFFFFF"/>
        <w:spacing w:before="100" w:beforeAutospacing="1" w:after="100" w:afterAutospacing="1" w:line="240" w:lineRule="auto"/>
        <w:ind w:left="1935"/>
        <w:rPr>
          <w:rFonts w:ascii="Arial" w:eastAsia="Times New Roman" w:hAnsi="Arial" w:cs="Arial"/>
          <w:color w:val="000000"/>
          <w:sz w:val="24"/>
          <w:szCs w:val="24"/>
        </w:rPr>
      </w:pPr>
      <w:hyperlink r:id="rId19" w:tooltip="Affordable Care Act (ACA) Information for Government Entities" w:history="1">
        <w:r w:rsidRPr="002D50DC">
          <w:rPr>
            <w:rFonts w:ascii="Arial" w:eastAsia="Times New Roman" w:hAnsi="Arial" w:cs="Arial"/>
            <w:color w:val="000000"/>
            <w:sz w:val="24"/>
            <w:szCs w:val="24"/>
            <w:lang w:val="en"/>
          </w:rPr>
          <w:t>Affordable Care Act (ACA) Information for Government Entities</w:t>
        </w:r>
      </w:hyperlink>
    </w:p>
    <w:p w:rsidR="002D50DC" w:rsidRPr="002D50DC" w:rsidRDefault="002D50DC" w:rsidP="002D50DC">
      <w:pPr>
        <w:numPr>
          <w:ilvl w:val="1"/>
          <w:numId w:val="1"/>
        </w:numPr>
        <w:pBdr>
          <w:bottom w:val="single" w:sz="6" w:space="0" w:color="D6D7D9"/>
        </w:pBdr>
        <w:shd w:val="clear" w:color="auto" w:fill="FFFFFF"/>
        <w:spacing w:before="100" w:beforeAutospacing="1" w:after="100" w:afterAutospacing="1" w:line="240" w:lineRule="auto"/>
        <w:ind w:left="1215"/>
        <w:rPr>
          <w:rFonts w:ascii="Arial" w:eastAsia="Times New Roman" w:hAnsi="Arial" w:cs="Arial"/>
          <w:color w:val="000000"/>
          <w:sz w:val="24"/>
          <w:szCs w:val="24"/>
        </w:rPr>
      </w:pPr>
      <w:hyperlink r:id="rId20" w:tooltip="Indian Tribal Governments" w:history="1">
        <w:r w:rsidRPr="002D50DC">
          <w:rPr>
            <w:rFonts w:ascii="Arial" w:eastAsia="Times New Roman" w:hAnsi="Arial" w:cs="Arial"/>
            <w:color w:val="000000"/>
            <w:sz w:val="24"/>
            <w:szCs w:val="24"/>
            <w:lang w:val="en"/>
          </w:rPr>
          <w:t>Indian Tribal Governments</w:t>
        </w:r>
      </w:hyperlink>
    </w:p>
    <w:p w:rsidR="002D50DC" w:rsidRPr="002D50DC" w:rsidRDefault="002D50DC" w:rsidP="002D50DC">
      <w:pPr>
        <w:numPr>
          <w:ilvl w:val="1"/>
          <w:numId w:val="1"/>
        </w:numPr>
        <w:pBdr>
          <w:bottom w:val="single" w:sz="6" w:space="0" w:color="D6D7D9"/>
        </w:pBdr>
        <w:shd w:val="clear" w:color="auto" w:fill="FFFFFF"/>
        <w:spacing w:before="100" w:beforeAutospacing="1" w:after="100" w:afterAutospacing="1" w:line="240" w:lineRule="auto"/>
        <w:ind w:left="1215"/>
        <w:rPr>
          <w:rFonts w:ascii="Arial" w:eastAsia="Times New Roman" w:hAnsi="Arial" w:cs="Arial"/>
          <w:color w:val="000000"/>
          <w:sz w:val="24"/>
          <w:szCs w:val="24"/>
        </w:rPr>
      </w:pPr>
      <w:hyperlink r:id="rId21" w:tooltip="Future Webinars and Recorded Events" w:history="1">
        <w:r w:rsidRPr="002D50DC">
          <w:rPr>
            <w:rFonts w:ascii="Arial" w:eastAsia="Times New Roman" w:hAnsi="Arial" w:cs="Arial"/>
            <w:color w:val="000000"/>
            <w:sz w:val="24"/>
            <w:szCs w:val="24"/>
            <w:lang w:val="en"/>
          </w:rPr>
          <w:t>Future Webinars and Recorded Events</w:t>
        </w:r>
      </w:hyperlink>
    </w:p>
    <w:p w:rsidR="002D50DC" w:rsidRPr="002D50DC" w:rsidRDefault="002D50DC" w:rsidP="002D50DC">
      <w:pPr>
        <w:numPr>
          <w:ilvl w:val="1"/>
          <w:numId w:val="1"/>
        </w:numPr>
        <w:pBdr>
          <w:bottom w:val="single" w:sz="6" w:space="0" w:color="D6D7D9"/>
        </w:pBdr>
        <w:shd w:val="clear" w:color="auto" w:fill="FFFFFF"/>
        <w:spacing w:before="100" w:beforeAutospacing="1" w:after="100" w:afterAutospacing="1" w:line="240" w:lineRule="auto"/>
        <w:ind w:left="1215"/>
        <w:rPr>
          <w:rFonts w:ascii="Arial" w:eastAsia="Times New Roman" w:hAnsi="Arial" w:cs="Arial"/>
          <w:color w:val="000000"/>
          <w:sz w:val="24"/>
          <w:szCs w:val="24"/>
        </w:rPr>
      </w:pPr>
      <w:hyperlink r:id="rId22" w:tooltip="Governmental Liaisons" w:history="1">
        <w:r w:rsidRPr="002D50DC">
          <w:rPr>
            <w:rFonts w:ascii="Arial" w:eastAsia="Times New Roman" w:hAnsi="Arial" w:cs="Arial"/>
            <w:color w:val="000000"/>
            <w:sz w:val="24"/>
            <w:szCs w:val="24"/>
            <w:lang w:val="en"/>
          </w:rPr>
          <w:t>Governmental Liaisons</w:t>
        </w:r>
      </w:hyperlink>
    </w:p>
    <w:p w:rsidR="002D50DC" w:rsidRPr="002D50DC" w:rsidRDefault="002D50DC" w:rsidP="002D50DC">
      <w:pPr>
        <w:numPr>
          <w:ilvl w:val="1"/>
          <w:numId w:val="1"/>
        </w:numPr>
        <w:pBdr>
          <w:bottom w:val="single" w:sz="6" w:space="0" w:color="D6D7D9"/>
        </w:pBdr>
        <w:shd w:val="clear" w:color="auto" w:fill="FFFFFF"/>
        <w:spacing w:before="100" w:beforeAutospacing="1" w:after="100" w:afterAutospacing="1" w:line="240" w:lineRule="auto"/>
        <w:ind w:left="1215"/>
        <w:rPr>
          <w:rFonts w:ascii="Arial" w:eastAsia="Times New Roman" w:hAnsi="Arial" w:cs="Arial"/>
          <w:color w:val="000000"/>
          <w:sz w:val="24"/>
          <w:szCs w:val="24"/>
        </w:rPr>
      </w:pPr>
      <w:hyperlink r:id="rId23" w:tooltip="Tax Exempt Bonds" w:history="1">
        <w:r w:rsidRPr="002D50DC">
          <w:rPr>
            <w:rFonts w:ascii="Arial" w:eastAsia="Times New Roman" w:hAnsi="Arial" w:cs="Arial"/>
            <w:color w:val="000000"/>
            <w:sz w:val="24"/>
            <w:szCs w:val="24"/>
            <w:lang w:val="en"/>
          </w:rPr>
          <w:t>Tax Exempt Bonds</w:t>
        </w:r>
      </w:hyperlink>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Retirement plans established for the benefit of governmental employees generally function in ways similar to those covering private employers. However, in many cases, different Sections of the Internal Revenue Code determine the tax treatment of these plans. Depending on the statutory basis for the plan and how it operates, employer and employee contributions may be subject to Federal income tax at the time of contribution, or tax-deferred until distributed; and they may be taxable or excluded from social security and Medicare taxes (FICA).</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Public Retirement Systems (FICA Replacement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 xml:space="preserve">Effective July 2, 1991, Congress made social security coverage mandatory for state and local government employees who are neither covered by a Section 218 Agreement nor qualifying participants in a public retirement system. Under this provision, states can provide these mandatorily covered employees with membership in a public retirement system as an alternative to mandatory social security coverage. Employees may also be covered by both a public retirement system and social security under a Section 218 </w:t>
      </w:r>
      <w:r w:rsidRPr="002D50DC">
        <w:rPr>
          <w:rFonts w:ascii="Arial" w:eastAsia="Times New Roman" w:hAnsi="Arial" w:cs="Arial"/>
          <w:color w:val="000000"/>
          <w:sz w:val="24"/>
          <w:szCs w:val="24"/>
        </w:rPr>
        <w:lastRenderedPageBreak/>
        <w:t>Agreement.</w:t>
      </w:r>
      <w:r w:rsidRPr="002D50DC">
        <w:rPr>
          <w:rFonts w:ascii="Arial" w:eastAsia="Times New Roman" w:hAnsi="Arial" w:cs="Arial"/>
          <w:color w:val="000000"/>
          <w:sz w:val="24"/>
          <w:szCs w:val="24"/>
        </w:rPr>
        <w:br/>
      </w:r>
      <w:r w:rsidRPr="002D50DC">
        <w:rPr>
          <w:rFonts w:ascii="Arial" w:eastAsia="Times New Roman" w:hAnsi="Arial" w:cs="Arial"/>
          <w:color w:val="000000"/>
          <w:sz w:val="24"/>
          <w:szCs w:val="24"/>
        </w:rPr>
        <w:br/>
        <w:t>A governmental retirement plan must meet certain minimum benefit or contribution standards to qualify as a public retirement system, and thereby serve as a “replacement” plan exempting the participants from mandatory social security coverage. These standards are based solely on meeting a minimum benefit level provided (defined benefit plan), or a minimum amount contributed (defined contribution plan) to the participant. Whether a plan meets the standard to exempt employees from mandatory FICA has no bearing on the rules discussed below, and a public retirement system is not necessarily a “qualified plan” within the meaning of Employee Retirement Income Security Act (ERISA). For a detailed discussion of the requirements for public retirement systems, see Chapter 6 of </w:t>
      </w:r>
      <w:hyperlink r:id="rId24" w:tooltip="Publication 963, Federal-State Reference Guide (PDF)" w:history="1">
        <w:r w:rsidRPr="002D50DC">
          <w:rPr>
            <w:rFonts w:ascii="Arial" w:eastAsia="Times New Roman" w:hAnsi="Arial" w:cs="Arial"/>
            <w:color w:val="6E41A0"/>
            <w:sz w:val="24"/>
            <w:szCs w:val="24"/>
            <w:u w:val="single"/>
          </w:rPr>
          <w:t>Publication 963, Federal-State Reference Guide (PDF)</w:t>
        </w:r>
      </w:hyperlink>
      <w:r w:rsidRPr="002D50DC">
        <w:rPr>
          <w:rFonts w:ascii="Arial" w:eastAsia="Times New Roman" w:hAnsi="Arial" w:cs="Arial"/>
          <w:color w:val="000000"/>
          <w:sz w:val="24"/>
          <w:szCs w:val="24"/>
        </w:rPr>
        <w:t>.</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Types of Public Employer Plans </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The following types of retirement plans are discussed here (Sections refer to the Internal Revenue Code)</w:t>
      </w:r>
    </w:p>
    <w:p w:rsidR="002D50DC" w:rsidRPr="002D50DC" w:rsidRDefault="002D50DC" w:rsidP="002D50DC">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Section 401(a) - Qualified Plan</w:t>
      </w:r>
    </w:p>
    <w:p w:rsidR="002D50DC" w:rsidRPr="002D50DC" w:rsidRDefault="002D50DC" w:rsidP="002D50DC">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Section 403(b) – Annuity for public schools and 501(c)(3) organizations</w:t>
      </w:r>
    </w:p>
    <w:p w:rsidR="002D50DC" w:rsidRPr="002D50DC" w:rsidRDefault="002D50DC" w:rsidP="002D50DC">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Section 457(b) – Nonqualified, eligible deferred compensation plans for state and local governments and tax-exempt organizations</w:t>
      </w:r>
    </w:p>
    <w:p w:rsidR="002D50DC" w:rsidRPr="002D50DC" w:rsidRDefault="002D50DC" w:rsidP="002D50DC">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Section 457(f) – Nonqualified, ineligible deferred compensation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Note: After May 6, 1986, state and local governments are not eligible to adopt Section 401(k) plans except for rural cooperatives and Indian tribal entities. Under grandfather provisions, plans established prior to that date may continue to operate and add new participants.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Almost all governmental plans are covered under one of these Sections. They are discussed individually below.</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Key Terms and Concepts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The following are some important terms that are used in discussing the features of public employer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Constructive Receipt:</w:t>
      </w:r>
      <w:r w:rsidRPr="002D50DC">
        <w:rPr>
          <w:rFonts w:ascii="Arial" w:eastAsia="Times New Roman" w:hAnsi="Arial" w:cs="Arial"/>
          <w:color w:val="000000"/>
          <w:sz w:val="24"/>
          <w:szCs w:val="24"/>
        </w:rPr>
        <w:t> Under the provisions of Sections 451 and 457 of the Internal Revenue Code, generally all amounts employees receive are taxable when received or made available to the employee. However, numerous code Sections provide exceptions to either defer or exempt amounts from current employee income. They are discussed below as they apply to governmental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Employer Contributions:</w:t>
      </w:r>
      <w:r w:rsidRPr="002D50DC">
        <w:rPr>
          <w:rFonts w:ascii="Arial" w:eastAsia="Times New Roman" w:hAnsi="Arial" w:cs="Arial"/>
          <w:color w:val="000000"/>
          <w:sz w:val="24"/>
          <w:szCs w:val="24"/>
        </w:rPr>
        <w:t> Amounts credited to individual employee retirement accounts paid in addition to salary; the employee does not have the option to receive these amounts in cash. These amounts are always tax deferred, because the employee does not have constructive receipt. Except for Section 457(b) deferrals and Section 457(f) contributions, employer contributions are exempt from FICA.</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Tax-Deferred:</w:t>
      </w:r>
      <w:r w:rsidRPr="002D50DC">
        <w:rPr>
          <w:rFonts w:ascii="Arial" w:eastAsia="Times New Roman" w:hAnsi="Arial" w:cs="Arial"/>
          <w:color w:val="000000"/>
          <w:sz w:val="24"/>
          <w:szCs w:val="24"/>
        </w:rPr>
        <w:t> Refers to amounts set aside or credited to the employee retirement account and not included in gross income at the time of the transaction. They are included in income when they are distributed to or constructively received by the employee. Generally, they are subject to withholding requirements at that time also.</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Salary Reduction Agreement:</w:t>
      </w:r>
      <w:r w:rsidRPr="002D50DC">
        <w:rPr>
          <w:rFonts w:ascii="Arial" w:eastAsia="Times New Roman" w:hAnsi="Arial" w:cs="Arial"/>
          <w:color w:val="000000"/>
          <w:sz w:val="24"/>
          <w:szCs w:val="24"/>
        </w:rPr>
        <w:t> An arrangement that provides for amounts recognized as a cash or deferred election because the employee either (a) elects to reduce cash compensation, or (b) elects to forego an increase in cash compensation.</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Mandatory Employee Contributions:</w:t>
      </w:r>
      <w:r w:rsidRPr="002D50DC">
        <w:rPr>
          <w:rFonts w:ascii="Arial" w:eastAsia="Times New Roman" w:hAnsi="Arial" w:cs="Arial"/>
          <w:color w:val="000000"/>
          <w:sz w:val="24"/>
          <w:szCs w:val="24"/>
        </w:rPr>
        <w:t> Amounts deducted from employee salary and credited to a retirement account.</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Employer “Pick-Up” Contributions:</w:t>
      </w:r>
      <w:r w:rsidRPr="002D50DC">
        <w:rPr>
          <w:rFonts w:ascii="Arial" w:eastAsia="Times New Roman" w:hAnsi="Arial" w:cs="Arial"/>
          <w:color w:val="000000"/>
          <w:sz w:val="24"/>
          <w:szCs w:val="24"/>
        </w:rPr>
        <w:t> Section 414(h)(2) allows state or local government entities with Section 401(a) plans to treat certain contributions designated as employee contributions, but which are “picked up” (paid) by the employer, to be treated as employer contributions, and therefore as exempt from income tax. This does not include contributions made under a salary reduction agreement. For purposes of FICA, the term “salary reduction” relates to amounts treated as an employer contribution under Code §414(h)(2) that would have been included in wages for FICA tax purposes, but for the employer contribution.</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Section 401(a) Qualified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Generally, any public employer may set up a 401(a) plan. Under this plan:</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Employer contributions not made pursuant to a salary reduction agreement, but including employer “pick-up” contributions, are deferred from income tax until distribution, and exempt from social security and Medicare tax.</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Employer contributions made under a salary reduction agreement are deferred from income tax, but are subject to FICA tax.</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Employee contributions pursuant to a salary reduction agreement are subject to income tax and FICA tax.</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Section 403(b)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Plans under IRC Section 403(b), also called tax-sheltered annuities, are available to certain employees of public schools, employees of certain tax-exempt organizations, and certain ministers. To maintain a Section 403(b) plan, a governmental employer must be a public school of a state, political subdivision of a state, or an agency or instrumentality of one or more of these. Many public school employees are covered by 403(b) plans in addition to social security coverage under Section 218.</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403(b) plans resemble “qualified” (i.e., 401(k)) plans in many respects. Eligible participants may defer amounts from income tax up to an </w:t>
      </w:r>
      <w:hyperlink r:id="rId25" w:tooltip="Retirement Topics 403b Contribution Limits" w:history="1">
        <w:r w:rsidRPr="002D50DC">
          <w:rPr>
            <w:rFonts w:ascii="Arial" w:eastAsia="Times New Roman" w:hAnsi="Arial" w:cs="Arial"/>
            <w:color w:val="6E41A0"/>
            <w:sz w:val="24"/>
            <w:szCs w:val="24"/>
            <w:u w:val="single"/>
          </w:rPr>
          <w:t>annual limit</w:t>
        </w:r>
      </w:hyperlink>
      <w:r w:rsidRPr="002D50DC">
        <w:rPr>
          <w:rFonts w:ascii="Arial" w:eastAsia="Times New Roman" w:hAnsi="Arial" w:cs="Arial"/>
          <w:color w:val="000000"/>
          <w:sz w:val="24"/>
          <w:szCs w:val="24"/>
        </w:rPr>
        <w:t> ($19,500 in 2020). This amount may be increased for certain employees with more than 15 years of service. In addition, additional tax-deferred “catch-up” contributions may be made to employees age 50 or older.</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Employer contributions (within dollar limitations) are tax-deferred and exempt from FICA.</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Employee elective contributions</w:t>
      </w:r>
      <w:r w:rsidRPr="002D50DC">
        <w:rPr>
          <w:rFonts w:ascii="Arial" w:eastAsia="Times New Roman" w:hAnsi="Arial" w:cs="Arial"/>
          <w:color w:val="000000"/>
          <w:sz w:val="24"/>
          <w:szCs w:val="24"/>
        </w:rPr>
        <w:t> to 403(b) plans that are considered employer contributions pursuant to a salary reduction agreement are deferred from income tax, but taxable for FICA.</w:t>
      </w:r>
      <w:r w:rsidRPr="002D50DC">
        <w:rPr>
          <w:rFonts w:ascii="Arial" w:eastAsia="Times New Roman" w:hAnsi="Arial" w:cs="Arial"/>
          <w:color w:val="000000"/>
          <w:sz w:val="24"/>
          <w:szCs w:val="24"/>
        </w:rPr>
        <w:br/>
      </w:r>
      <w:r w:rsidRPr="002D50DC">
        <w:rPr>
          <w:rFonts w:ascii="Arial" w:eastAsia="Times New Roman" w:hAnsi="Arial" w:cs="Arial"/>
          <w:color w:val="000000"/>
          <w:sz w:val="24"/>
          <w:szCs w:val="24"/>
        </w:rPr>
        <w:br/>
        <w:t>For more information on catch-up contributions to 403(b) plans, see </w:t>
      </w:r>
      <w:hyperlink r:id="rId26" w:tooltip="Publication 571 (PDF)" w:history="1">
        <w:r w:rsidRPr="002D50DC">
          <w:rPr>
            <w:rFonts w:ascii="Arial" w:eastAsia="Times New Roman" w:hAnsi="Arial" w:cs="Arial"/>
            <w:color w:val="6E41A0"/>
            <w:sz w:val="24"/>
            <w:szCs w:val="24"/>
            <w:u w:val="single"/>
          </w:rPr>
          <w:t>Publication 571 (PDF)</w:t>
        </w:r>
      </w:hyperlink>
      <w:r w:rsidRPr="002D50DC">
        <w:rPr>
          <w:rFonts w:ascii="Arial" w:eastAsia="Times New Roman" w:hAnsi="Arial" w:cs="Arial"/>
          <w:color w:val="000000"/>
          <w:sz w:val="24"/>
          <w:szCs w:val="24"/>
        </w:rPr>
        <w:t> .</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Section 457(b)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Section 457 addresses nonqualified plans. Many public employees participate in nonqualified, or Section 457, plans. These plans can be established by state and local governments or tax-exempt organizations. If they meet the requirements of IRC Section 457(b), they are considered “eligible” plans; if not they are considered “ineligible” and are governed by IRC Section 457(f).</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Governmental 457(b) plans must be funded, with assets held in trust for the benefit of employees. Plan assets and income of all other eligible plans must remain the property of the employer.</w:t>
      </w:r>
      <w:r w:rsidRPr="002D50DC">
        <w:rPr>
          <w:rFonts w:ascii="Arial" w:eastAsia="Times New Roman" w:hAnsi="Arial" w:cs="Arial"/>
          <w:color w:val="000000"/>
          <w:sz w:val="24"/>
          <w:szCs w:val="24"/>
        </w:rPr>
        <w:br/>
      </w:r>
      <w:r w:rsidRPr="002D50DC">
        <w:rPr>
          <w:rFonts w:ascii="Arial" w:eastAsia="Times New Roman" w:hAnsi="Arial" w:cs="Arial"/>
          <w:color w:val="000000"/>
          <w:sz w:val="24"/>
          <w:szCs w:val="24"/>
        </w:rPr>
        <w:br/>
        <w:t>Plans eligible under 457(b) may defer amounts from income tax up to an annual limit ($19,500 in 2020). In addition, “catch-up” contributions may be made to employees age 50 or older. Social security and Medicare taxes generally apply to all employer and employee contributions. For further information regarding social security and Medicare tax withholding and reporting on amounts deferred into eligible deferred compensation plans, see </w:t>
      </w:r>
      <w:hyperlink r:id="rId27" w:tooltip="Notice 2003-20 (PDF)" w:history="1">
        <w:r w:rsidRPr="002D50DC">
          <w:rPr>
            <w:rFonts w:ascii="Arial" w:eastAsia="Times New Roman" w:hAnsi="Arial" w:cs="Arial"/>
            <w:color w:val="6E41A0"/>
            <w:sz w:val="24"/>
            <w:szCs w:val="24"/>
            <w:u w:val="single"/>
          </w:rPr>
          <w:t>Notice 2003-20 (PDF)</w:t>
        </w:r>
      </w:hyperlink>
      <w:r w:rsidRPr="002D50DC">
        <w:rPr>
          <w:rFonts w:ascii="Arial" w:eastAsia="Times New Roman" w:hAnsi="Arial" w:cs="Arial"/>
          <w:color w:val="000000"/>
          <w:sz w:val="24"/>
          <w:szCs w:val="24"/>
        </w:rPr>
        <w:t> and the </w:t>
      </w:r>
      <w:hyperlink r:id="rId28" w:tooltip="Retirement Topics 457b Contribution Limits" w:history="1">
        <w:r w:rsidRPr="002D50DC">
          <w:rPr>
            <w:rFonts w:ascii="Arial" w:eastAsia="Times New Roman" w:hAnsi="Arial" w:cs="Arial"/>
            <w:color w:val="6E41A0"/>
            <w:sz w:val="24"/>
            <w:szCs w:val="24"/>
            <w:u w:val="single"/>
          </w:rPr>
          <w:t>457(b) Contribution Limits</w:t>
        </w:r>
      </w:hyperlink>
      <w:r w:rsidRPr="002D50DC">
        <w:rPr>
          <w:rFonts w:ascii="Arial" w:eastAsia="Times New Roman" w:hAnsi="Arial" w:cs="Arial"/>
          <w:color w:val="000000"/>
          <w:sz w:val="24"/>
          <w:szCs w:val="24"/>
        </w:rPr>
        <w:t>.</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Employer contributions</w:t>
      </w:r>
      <w:r w:rsidRPr="002D50DC">
        <w:rPr>
          <w:rFonts w:ascii="Arial" w:eastAsia="Times New Roman" w:hAnsi="Arial" w:cs="Arial"/>
          <w:color w:val="000000"/>
          <w:sz w:val="24"/>
          <w:szCs w:val="24"/>
        </w:rPr>
        <w:t> to 457(b) plans are tax deferred up to annual limits.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color w:val="000000"/>
          <w:sz w:val="24"/>
          <w:szCs w:val="24"/>
        </w:rPr>
        <w:t>Employee elective contributions</w:t>
      </w:r>
      <w:r w:rsidRPr="002D50DC">
        <w:rPr>
          <w:rFonts w:ascii="Arial" w:eastAsia="Times New Roman" w:hAnsi="Arial" w:cs="Arial"/>
          <w:color w:val="000000"/>
          <w:sz w:val="24"/>
          <w:szCs w:val="24"/>
        </w:rPr>
        <w:t> are deferred from income tax. They are subject to FICA. However, see </w:t>
      </w:r>
      <w:hyperlink r:id="rId29" w:tooltip="IRS Notice 2003-20 (PDF)" w:history="1">
        <w:r w:rsidRPr="002D50DC">
          <w:rPr>
            <w:rFonts w:ascii="Arial" w:eastAsia="Times New Roman" w:hAnsi="Arial" w:cs="Arial"/>
            <w:color w:val="6E41A0"/>
            <w:sz w:val="24"/>
            <w:szCs w:val="24"/>
            <w:u w:val="single"/>
          </w:rPr>
          <w:t>IRS Notice 2003-20 (PDF)</w:t>
        </w:r>
      </w:hyperlink>
      <w:r w:rsidRPr="002D50DC">
        <w:rPr>
          <w:rFonts w:ascii="Arial" w:eastAsia="Times New Roman" w:hAnsi="Arial" w:cs="Arial"/>
          <w:color w:val="000000"/>
          <w:sz w:val="24"/>
          <w:szCs w:val="24"/>
        </w:rPr>
        <w:t>, VI B, “Timing of social security and Medicare taxes.”</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Section 457(f) Plans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Nonqualified state or local government plans that do not meet the tests of 457(b) are ineligible, or 457(f), plans. There is no limit on the annual deferrals on these plans, but to defer taxation all amounts must be subject to substantial risk of forfeiture.</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color w:val="000000"/>
          <w:sz w:val="24"/>
          <w:szCs w:val="24"/>
        </w:rPr>
        <w:t>Substantial risk of forfeiture.</w:t>
      </w:r>
      <w:r w:rsidRPr="002D50DC">
        <w:rPr>
          <w:rFonts w:ascii="Arial" w:eastAsia="Times New Roman" w:hAnsi="Arial" w:cs="Arial"/>
          <w:color w:val="000000"/>
          <w:sz w:val="24"/>
          <w:szCs w:val="24"/>
        </w:rPr>
        <w:t> The rights of a person to compensation are subject to substantial risk of forfeiture if such person's rights to such compensation are conditioned upon the future performance of substantial services by any individual. Section 1.83-3(c)(1) of the regulations provides that whether a risk of forfeiture is </w:t>
      </w:r>
      <w:r w:rsidRPr="002D50DC">
        <w:rPr>
          <w:rFonts w:ascii="Arial" w:eastAsia="Times New Roman" w:hAnsi="Arial" w:cs="Arial"/>
          <w:b/>
          <w:bCs/>
          <w:color w:val="000000"/>
          <w:sz w:val="24"/>
          <w:szCs w:val="24"/>
        </w:rPr>
        <w:t>substantial</w:t>
      </w:r>
      <w:r w:rsidRPr="002D50DC">
        <w:rPr>
          <w:rFonts w:ascii="Arial" w:eastAsia="Times New Roman" w:hAnsi="Arial" w:cs="Arial"/>
          <w:color w:val="000000"/>
          <w:sz w:val="24"/>
          <w:szCs w:val="24"/>
        </w:rPr>
        <w:t> or not depends upon the facts and circumstances.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“A substantial risk of forfeiture exists where rights in property that are transferred are conditioned, directly or indirectly, upon the future performance (or refraining from performance) of substantial services by any person, or the occurrence of a condition related to a purpose of the transfer, and the possibility of forfeiture is substantial if such condition is not satisfied.”</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Section 1.83-3(c)(2) of the regulations point out that requirements that the property be returned to the employer if the employee is discharged for cause or for committing a crime will not be considered to result in a substantial risk of forfeiture.</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Distributions are generally subject to social security and Medicare taxes at the later of the time</w:t>
      </w:r>
    </w:p>
    <w:p w:rsidR="002D50DC" w:rsidRPr="002D50DC" w:rsidRDefault="002D50DC" w:rsidP="002D50DC">
      <w:pPr>
        <w:numPr>
          <w:ilvl w:val="0"/>
          <w:numId w:val="3"/>
        </w:numPr>
        <w:shd w:val="clear" w:color="auto" w:fill="FFFFFF"/>
        <w:spacing w:before="100" w:beforeAutospacing="1" w:after="100" w:afterAutospacing="1" w:line="240" w:lineRule="auto"/>
        <w:ind w:left="-225"/>
        <w:rPr>
          <w:rFonts w:ascii="Arial" w:eastAsia="Times New Roman" w:hAnsi="Arial" w:cs="Arial"/>
          <w:color w:val="000000"/>
          <w:sz w:val="24"/>
          <w:szCs w:val="24"/>
        </w:rPr>
      </w:pPr>
      <w:r w:rsidRPr="002D50DC">
        <w:rPr>
          <w:rFonts w:ascii="Arial" w:eastAsia="Times New Roman" w:hAnsi="Arial" w:cs="Arial"/>
          <w:color w:val="000000"/>
          <w:sz w:val="24"/>
          <w:szCs w:val="24"/>
        </w:rPr>
        <w:t>when the services giving rise to the related compensation are performed, or</w:t>
      </w:r>
    </w:p>
    <w:p w:rsidR="002D50DC" w:rsidRPr="002D50DC" w:rsidRDefault="002D50DC" w:rsidP="002D50DC">
      <w:pPr>
        <w:numPr>
          <w:ilvl w:val="0"/>
          <w:numId w:val="3"/>
        </w:numPr>
        <w:shd w:val="clear" w:color="auto" w:fill="FFFFFF"/>
        <w:spacing w:before="100" w:beforeAutospacing="1" w:after="100" w:afterAutospacing="1" w:line="240" w:lineRule="auto"/>
        <w:ind w:left="-225"/>
        <w:rPr>
          <w:rFonts w:ascii="Arial" w:eastAsia="Times New Roman" w:hAnsi="Arial" w:cs="Arial"/>
          <w:color w:val="000000"/>
          <w:sz w:val="24"/>
          <w:szCs w:val="24"/>
        </w:rPr>
      </w:pPr>
      <w:r w:rsidRPr="002D50DC">
        <w:rPr>
          <w:rFonts w:ascii="Arial" w:eastAsia="Times New Roman" w:hAnsi="Arial" w:cs="Arial"/>
          <w:color w:val="000000"/>
          <w:sz w:val="24"/>
          <w:szCs w:val="24"/>
        </w:rPr>
        <w:t>when there is no substantial risk of forfeiture of the rights to the amounts.</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i/>
          <w:iCs/>
          <w:color w:val="000000"/>
          <w:sz w:val="24"/>
          <w:szCs w:val="24"/>
        </w:rPr>
        <w:t>Employer contributions</w:t>
      </w:r>
      <w:r w:rsidRPr="002D50DC">
        <w:rPr>
          <w:rFonts w:ascii="Arial" w:eastAsia="Times New Roman" w:hAnsi="Arial" w:cs="Arial"/>
          <w:color w:val="000000"/>
          <w:sz w:val="24"/>
          <w:szCs w:val="24"/>
        </w:rPr>
        <w:t> to 457(f) plans are includible in income in the year they are no longer subject to any substantial risk of forfeiture. They are subject to income tax withholding in the year they are actually or constructively paid.</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b/>
          <w:bCs/>
          <w:color w:val="000000"/>
          <w:sz w:val="24"/>
          <w:szCs w:val="24"/>
        </w:rPr>
        <w:t>Note:</w:t>
      </w:r>
      <w:r w:rsidRPr="002D50DC">
        <w:rPr>
          <w:rFonts w:ascii="Arial" w:eastAsia="Times New Roman" w:hAnsi="Arial" w:cs="Arial"/>
          <w:color w:val="000000"/>
          <w:sz w:val="24"/>
          <w:szCs w:val="24"/>
        </w:rPr>
        <w:t xml:space="preserve"> IRC Section 457(f)(1)(A) requires that the contributions be included in the gross income of the participant in the first taxable year in which there is no substantial risk of forfeiture, whereas, IRC Section 3402(a)(1) requires withholding of federal income tax when the contributions are actually or constructively paid. Thus, while the contributions must be reported as income taxable wages on Form W-2 in the first year in which there is no substantial risk of forfeiture, there may be no income tax withholding requirement at that time. Contributions to funded plans (not meeting the requirements of Section 457(b)) are constructively paid in the “taxable year in which amounts attributable to employer contribution amounts first become </w:t>
      </w:r>
      <w:proofErr w:type="spellStart"/>
      <w:r w:rsidRPr="002D50DC">
        <w:rPr>
          <w:rFonts w:ascii="Arial" w:eastAsia="Times New Roman" w:hAnsi="Arial" w:cs="Arial"/>
          <w:color w:val="000000"/>
          <w:sz w:val="24"/>
          <w:szCs w:val="24"/>
        </w:rPr>
        <w:t>nonforfeitable</w:t>
      </w:r>
      <w:proofErr w:type="spellEnd"/>
      <w:r w:rsidRPr="002D50DC">
        <w:rPr>
          <w:rFonts w:ascii="Arial" w:eastAsia="Times New Roman" w:hAnsi="Arial" w:cs="Arial"/>
          <w:color w:val="000000"/>
          <w:sz w:val="24"/>
          <w:szCs w:val="24"/>
        </w:rPr>
        <w:t>.”</w:t>
      </w:r>
      <w:r w:rsidRPr="002D50DC">
        <w:rPr>
          <w:rFonts w:ascii="Arial" w:eastAsia="Times New Roman" w:hAnsi="Arial" w:cs="Arial"/>
          <w:color w:val="000000"/>
          <w:sz w:val="24"/>
          <w:szCs w:val="24"/>
        </w:rPr>
        <w:br/>
      </w:r>
      <w:r w:rsidRPr="002D50DC">
        <w:rPr>
          <w:rFonts w:ascii="Arial" w:eastAsia="Times New Roman" w:hAnsi="Arial" w:cs="Arial"/>
          <w:color w:val="000000"/>
          <w:sz w:val="24"/>
          <w:szCs w:val="24"/>
        </w:rPr>
        <w:br/>
        <w:t>IRC Section 457(e)(11)(A)(i) provides exceptions to the above treatment may apply to plans involving bona fide vacation, sick leave, involuntary severance pay, disability or death benefits. For information on the treatment of severance pay plans, see </w:t>
      </w:r>
      <w:hyperlink r:id="rId30" w:tooltip="Notice 2007-62 (PDF)" w:history="1">
        <w:r w:rsidRPr="002D50DC">
          <w:rPr>
            <w:rFonts w:ascii="Arial" w:eastAsia="Times New Roman" w:hAnsi="Arial" w:cs="Arial"/>
            <w:color w:val="6E41A0"/>
            <w:sz w:val="24"/>
            <w:szCs w:val="24"/>
            <w:u w:val="single"/>
          </w:rPr>
          <w:t>Notice 2007-62 (PDF)</w:t>
        </w:r>
      </w:hyperlink>
      <w:r w:rsidRPr="002D50DC">
        <w:rPr>
          <w:rFonts w:ascii="Arial" w:eastAsia="Times New Roman" w:hAnsi="Arial" w:cs="Arial"/>
          <w:color w:val="000000"/>
          <w:sz w:val="24"/>
          <w:szCs w:val="24"/>
        </w:rPr>
        <w:t>.</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457(f) contributions are subject to FICA at the later of:</w:t>
      </w:r>
    </w:p>
    <w:p w:rsidR="002D50DC" w:rsidRPr="002D50DC" w:rsidRDefault="002D50DC" w:rsidP="002D50DC">
      <w:pPr>
        <w:numPr>
          <w:ilvl w:val="0"/>
          <w:numId w:val="4"/>
        </w:numPr>
        <w:shd w:val="clear" w:color="auto" w:fill="FFFFFF"/>
        <w:spacing w:before="100" w:beforeAutospacing="1" w:after="100" w:afterAutospacing="1" w:line="240" w:lineRule="auto"/>
        <w:ind w:left="-225"/>
        <w:rPr>
          <w:rFonts w:ascii="Arial" w:eastAsia="Times New Roman" w:hAnsi="Arial" w:cs="Arial"/>
          <w:color w:val="000000"/>
          <w:sz w:val="24"/>
          <w:szCs w:val="24"/>
        </w:rPr>
      </w:pPr>
      <w:r w:rsidRPr="002D50DC">
        <w:rPr>
          <w:rFonts w:ascii="Arial" w:eastAsia="Times New Roman" w:hAnsi="Arial" w:cs="Arial"/>
          <w:color w:val="000000"/>
          <w:sz w:val="24"/>
          <w:szCs w:val="24"/>
        </w:rPr>
        <w:t>When the services are performed, or</w:t>
      </w:r>
    </w:p>
    <w:p w:rsidR="002D50DC" w:rsidRPr="002D50DC" w:rsidRDefault="002D50DC" w:rsidP="002D50DC">
      <w:pPr>
        <w:numPr>
          <w:ilvl w:val="0"/>
          <w:numId w:val="4"/>
        </w:numPr>
        <w:shd w:val="clear" w:color="auto" w:fill="FFFFFF"/>
        <w:spacing w:before="100" w:beforeAutospacing="1" w:after="100" w:afterAutospacing="1" w:line="240" w:lineRule="auto"/>
        <w:ind w:left="-225"/>
        <w:rPr>
          <w:rFonts w:ascii="Arial" w:eastAsia="Times New Roman" w:hAnsi="Arial" w:cs="Arial"/>
          <w:color w:val="000000"/>
          <w:sz w:val="24"/>
          <w:szCs w:val="24"/>
        </w:rPr>
      </w:pPr>
      <w:r w:rsidRPr="002D50DC">
        <w:rPr>
          <w:rFonts w:ascii="Arial" w:eastAsia="Times New Roman" w:hAnsi="Arial" w:cs="Arial"/>
          <w:color w:val="000000"/>
          <w:sz w:val="24"/>
          <w:szCs w:val="24"/>
        </w:rPr>
        <w:t>When there is no substantial risk of forfeiture and when the amounts are reasonably ascertainable.</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Form W-2 Reporting</w:t>
      </w:r>
    </w:p>
    <w:p w:rsidR="002D50DC" w:rsidRPr="002D50DC" w:rsidRDefault="002D50DC" w:rsidP="002D50DC">
      <w:pPr>
        <w:numPr>
          <w:ilvl w:val="0"/>
          <w:numId w:val="5"/>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Box 1: Income taxable contributions.</w:t>
      </w:r>
    </w:p>
    <w:p w:rsidR="002D50DC" w:rsidRPr="002D50DC" w:rsidRDefault="002D50DC" w:rsidP="002D50DC">
      <w:pPr>
        <w:numPr>
          <w:ilvl w:val="0"/>
          <w:numId w:val="5"/>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 xml:space="preserve">Box 12: Elective salary reduction deferrals to Sections 401(k), 403(b), 408(k)(6), 408(p); elective deferrals and employer contributions (including </w:t>
      </w:r>
      <w:proofErr w:type="spellStart"/>
      <w:r w:rsidRPr="002D50DC">
        <w:rPr>
          <w:rFonts w:ascii="Arial" w:eastAsia="Times New Roman" w:hAnsi="Arial" w:cs="Arial"/>
          <w:color w:val="000000"/>
          <w:sz w:val="24"/>
          <w:szCs w:val="24"/>
        </w:rPr>
        <w:t>nonelective</w:t>
      </w:r>
      <w:proofErr w:type="spellEnd"/>
      <w:r w:rsidRPr="002D50DC">
        <w:rPr>
          <w:rFonts w:ascii="Arial" w:eastAsia="Times New Roman" w:hAnsi="Arial" w:cs="Arial"/>
          <w:color w:val="000000"/>
          <w:sz w:val="24"/>
          <w:szCs w:val="24"/>
        </w:rPr>
        <w:t xml:space="preserve"> deferrals) to Section 457(b) unless subject to substantial risk of forfeiture.</w:t>
      </w:r>
    </w:p>
    <w:p w:rsidR="002D50DC" w:rsidRPr="002D50DC" w:rsidRDefault="002D50DC" w:rsidP="002D50DC">
      <w:pPr>
        <w:numPr>
          <w:ilvl w:val="0"/>
          <w:numId w:val="5"/>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2D50DC">
        <w:rPr>
          <w:rFonts w:ascii="Arial" w:eastAsia="Times New Roman" w:hAnsi="Arial" w:cs="Arial"/>
          <w:color w:val="000000"/>
          <w:sz w:val="24"/>
          <w:szCs w:val="24"/>
        </w:rPr>
        <w:t xml:space="preserve">Box 14: Employer may enter the following: (a) </w:t>
      </w:r>
      <w:proofErr w:type="spellStart"/>
      <w:r w:rsidRPr="002D50DC">
        <w:rPr>
          <w:rFonts w:ascii="Arial" w:eastAsia="Times New Roman" w:hAnsi="Arial" w:cs="Arial"/>
          <w:color w:val="000000"/>
          <w:sz w:val="24"/>
          <w:szCs w:val="24"/>
        </w:rPr>
        <w:t>nonelective</w:t>
      </w:r>
      <w:proofErr w:type="spellEnd"/>
      <w:r w:rsidRPr="002D50DC">
        <w:rPr>
          <w:rFonts w:ascii="Arial" w:eastAsia="Times New Roman" w:hAnsi="Arial" w:cs="Arial"/>
          <w:color w:val="000000"/>
          <w:sz w:val="24"/>
          <w:szCs w:val="24"/>
        </w:rPr>
        <w:t xml:space="preserve"> employer contributions made on behalf of an employee, (b) voluntary after-tax contributions that are deducted from an employee’s pay, (c) required employee contributions, and (d) employer matching contributions.</w:t>
      </w:r>
    </w:p>
    <w:p w:rsidR="002D50DC" w:rsidRPr="002D50DC" w:rsidRDefault="002D50DC" w:rsidP="002D50DC">
      <w:pPr>
        <w:shd w:val="clear" w:color="auto" w:fill="FFFFFF"/>
        <w:spacing w:before="300" w:after="150" w:line="240" w:lineRule="auto"/>
        <w:outlineLvl w:val="2"/>
        <w:rPr>
          <w:rFonts w:ascii="inherit" w:eastAsia="Times New Roman" w:hAnsi="inherit" w:cs="Arial"/>
          <w:b/>
          <w:bCs/>
          <w:color w:val="000000"/>
          <w:sz w:val="29"/>
          <w:szCs w:val="29"/>
        </w:rPr>
      </w:pPr>
      <w:r w:rsidRPr="002D50DC">
        <w:rPr>
          <w:rFonts w:ascii="inherit" w:eastAsia="Times New Roman" w:hAnsi="inherit" w:cs="Arial"/>
          <w:b/>
          <w:bCs/>
          <w:color w:val="000000"/>
          <w:sz w:val="29"/>
          <w:szCs w:val="29"/>
        </w:rPr>
        <w:t>Resources for Further Information</w:t>
      </w:r>
    </w:p>
    <w:p w:rsidR="002D50DC" w:rsidRPr="002D50DC" w:rsidRDefault="002D50DC" w:rsidP="002D50DC">
      <w:pPr>
        <w:shd w:val="clear" w:color="auto" w:fill="FFFFFF"/>
        <w:spacing w:after="150" w:line="240" w:lineRule="auto"/>
        <w:rPr>
          <w:rFonts w:ascii="Arial" w:eastAsia="Times New Roman" w:hAnsi="Arial" w:cs="Arial"/>
          <w:color w:val="000000"/>
          <w:sz w:val="24"/>
          <w:szCs w:val="24"/>
        </w:rPr>
      </w:pPr>
      <w:hyperlink r:id="rId31" w:tooltip="Publication 963, Federal-State Reference Guide (PDF)" w:history="1">
        <w:r w:rsidRPr="002D50DC">
          <w:rPr>
            <w:rFonts w:ascii="Arial" w:eastAsia="Times New Roman" w:hAnsi="Arial" w:cs="Arial"/>
            <w:color w:val="6E41A0"/>
            <w:sz w:val="24"/>
            <w:szCs w:val="24"/>
            <w:u w:val="single"/>
          </w:rPr>
          <w:t>Publication 963, Federal-State Reference Guide (PDF)</w:t>
        </w:r>
      </w:hyperlink>
      <w:r w:rsidRPr="002D50DC">
        <w:rPr>
          <w:rFonts w:ascii="Arial" w:eastAsia="Times New Roman" w:hAnsi="Arial" w:cs="Arial"/>
          <w:color w:val="000000"/>
          <w:sz w:val="24"/>
          <w:szCs w:val="24"/>
        </w:rPr>
        <w:br/>
      </w:r>
      <w:hyperlink r:id="rId32" w:tooltip="Publication 571, Tax-Sheltered Annuity Plans (403(b) Plans) (PDF)" w:history="1">
        <w:r w:rsidRPr="002D50DC">
          <w:rPr>
            <w:rFonts w:ascii="Arial" w:eastAsia="Times New Roman" w:hAnsi="Arial" w:cs="Arial"/>
            <w:color w:val="6E41A0"/>
            <w:sz w:val="24"/>
            <w:szCs w:val="24"/>
            <w:u w:val="single"/>
          </w:rPr>
          <w:t>Publication 571, Tax-Sheltered Annuity Plans (403(b) Plans) (PDF)</w:t>
        </w:r>
      </w:hyperlink>
      <w:r w:rsidRPr="002D50DC">
        <w:rPr>
          <w:rFonts w:ascii="Arial" w:eastAsia="Times New Roman" w:hAnsi="Arial" w:cs="Arial"/>
          <w:color w:val="000000"/>
          <w:sz w:val="24"/>
          <w:szCs w:val="24"/>
        </w:rPr>
        <w:br/>
      </w:r>
      <w:hyperlink r:id="rId33" w:tooltip="Instructions for Forms W-2 and W-3 (PDF)" w:history="1">
        <w:r w:rsidRPr="002D50DC">
          <w:rPr>
            <w:rFonts w:ascii="Arial" w:eastAsia="Times New Roman" w:hAnsi="Arial" w:cs="Arial"/>
            <w:color w:val="6E41A0"/>
            <w:sz w:val="24"/>
            <w:szCs w:val="24"/>
            <w:u w:val="single"/>
          </w:rPr>
          <w:t>Instructions for Forms W-2 and W-3 (PDF)</w:t>
        </w:r>
      </w:hyperlink>
    </w:p>
    <w:p w:rsidR="002D50DC" w:rsidRPr="002D50DC" w:rsidRDefault="002D50DC" w:rsidP="002D50DC">
      <w:pPr>
        <w:shd w:val="clear" w:color="auto" w:fill="FFFFFF"/>
        <w:spacing w:line="240" w:lineRule="auto"/>
        <w:rPr>
          <w:rFonts w:ascii="Arial" w:eastAsia="Times New Roman" w:hAnsi="Arial" w:cs="Arial"/>
          <w:color w:val="000000"/>
          <w:sz w:val="24"/>
          <w:szCs w:val="24"/>
        </w:rPr>
      </w:pPr>
      <w:r w:rsidRPr="002D50DC">
        <w:rPr>
          <w:rFonts w:ascii="Arial" w:eastAsia="Times New Roman" w:hAnsi="Arial" w:cs="Arial"/>
          <w:color w:val="000000"/>
          <w:sz w:val="24"/>
          <w:szCs w:val="24"/>
        </w:rPr>
        <w:t>See also the following IRS web pages:</w:t>
      </w:r>
      <w:r w:rsidRPr="002D50DC">
        <w:rPr>
          <w:rFonts w:ascii="Arial" w:eastAsia="Times New Roman" w:hAnsi="Arial" w:cs="Arial"/>
          <w:color w:val="000000"/>
          <w:sz w:val="24"/>
          <w:szCs w:val="24"/>
        </w:rPr>
        <w:br/>
      </w:r>
      <w:hyperlink r:id="rId34" w:tooltip="IRC 403(b) Tax-Sheltered Annuity Plans" w:history="1">
        <w:r w:rsidRPr="002D50DC">
          <w:rPr>
            <w:rFonts w:ascii="Arial" w:eastAsia="Times New Roman" w:hAnsi="Arial" w:cs="Arial"/>
            <w:color w:val="6E41A0"/>
            <w:sz w:val="24"/>
            <w:szCs w:val="24"/>
            <w:u w:val="single"/>
          </w:rPr>
          <w:t>IRC 403(b) Deferred Compensation Plans</w:t>
        </w:r>
      </w:hyperlink>
      <w:r w:rsidRPr="002D50DC">
        <w:rPr>
          <w:rFonts w:ascii="Arial" w:eastAsia="Times New Roman" w:hAnsi="Arial" w:cs="Arial"/>
          <w:color w:val="000000"/>
          <w:sz w:val="24"/>
          <w:szCs w:val="24"/>
        </w:rPr>
        <w:br/>
      </w:r>
      <w:hyperlink r:id="rId35" w:tooltip="IRC 457b Deferred Compensation Plans" w:history="1">
        <w:r w:rsidRPr="002D50DC">
          <w:rPr>
            <w:rFonts w:ascii="Arial" w:eastAsia="Times New Roman" w:hAnsi="Arial" w:cs="Arial"/>
            <w:color w:val="6E41A0"/>
            <w:sz w:val="24"/>
            <w:szCs w:val="24"/>
            <w:u w:val="single"/>
          </w:rPr>
          <w:t>IRC 457(b) Deferred Compensation Plans</w:t>
        </w:r>
      </w:hyperlink>
    </w:p>
    <w:p w:rsidR="002D50DC" w:rsidRPr="002D50DC" w:rsidRDefault="002D50DC" w:rsidP="002D50DC">
      <w:pPr>
        <w:shd w:val="clear" w:color="auto" w:fill="FFFFFF"/>
        <w:spacing w:after="0" w:line="240" w:lineRule="auto"/>
        <w:rPr>
          <w:rFonts w:ascii="Arial" w:eastAsia="Times New Roman" w:hAnsi="Arial" w:cs="Arial"/>
          <w:i/>
          <w:iCs/>
          <w:color w:val="000000"/>
          <w:sz w:val="21"/>
          <w:szCs w:val="21"/>
        </w:rPr>
      </w:pPr>
      <w:r w:rsidRPr="002D50DC">
        <w:rPr>
          <w:rFonts w:ascii="Arial" w:eastAsia="Times New Roman" w:hAnsi="Arial" w:cs="Arial"/>
          <w:i/>
          <w:iCs/>
          <w:color w:val="000000"/>
          <w:sz w:val="21"/>
          <w:szCs w:val="21"/>
        </w:rPr>
        <w:t>Page Last Reviewed or Updated: 20-Dec-2019</w:t>
      </w:r>
    </w:p>
    <w:p w:rsidR="002D50DC" w:rsidRPr="002D50DC" w:rsidRDefault="002D50DC" w:rsidP="002D50DC">
      <w:pPr>
        <w:numPr>
          <w:ilvl w:val="0"/>
          <w:numId w:val="6"/>
        </w:numPr>
        <w:shd w:val="clear" w:color="auto" w:fill="FFFFFF"/>
        <w:spacing w:before="100" w:beforeAutospacing="1" w:after="100" w:afterAutospacing="1" w:line="300" w:lineRule="atLeast"/>
        <w:ind w:left="0"/>
        <w:rPr>
          <w:rFonts w:ascii="Arial" w:eastAsia="Times New Roman" w:hAnsi="Arial" w:cs="Arial"/>
          <w:b/>
          <w:bCs/>
          <w:color w:val="000000"/>
          <w:sz w:val="26"/>
          <w:szCs w:val="26"/>
        </w:rPr>
      </w:pPr>
      <w:hyperlink r:id="rId36" w:history="1">
        <w:r w:rsidRPr="002D50DC">
          <w:rPr>
            <w:rFonts w:ascii="Arial" w:eastAsia="Times New Roman" w:hAnsi="Arial" w:cs="Arial"/>
            <w:b/>
            <w:bCs/>
            <w:color w:val="0073AF"/>
            <w:sz w:val="26"/>
            <w:szCs w:val="26"/>
            <w:bdr w:val="single" w:sz="12" w:space="5" w:color="0073AF" w:frame="1"/>
          </w:rPr>
          <w:t>Share</w:t>
        </w:r>
      </w:hyperlink>
    </w:p>
    <w:p w:rsidR="002D50DC" w:rsidRPr="002D50DC" w:rsidRDefault="002D50DC" w:rsidP="002D50DC">
      <w:pPr>
        <w:numPr>
          <w:ilvl w:val="0"/>
          <w:numId w:val="6"/>
        </w:numPr>
        <w:shd w:val="clear" w:color="auto" w:fill="FFFFFF"/>
        <w:spacing w:before="100" w:beforeAutospacing="1" w:after="100" w:afterAutospacing="1" w:line="300" w:lineRule="atLeast"/>
        <w:ind w:left="0"/>
        <w:rPr>
          <w:rFonts w:ascii="Arial" w:eastAsia="Times New Roman" w:hAnsi="Arial" w:cs="Arial"/>
          <w:b/>
          <w:bCs/>
          <w:color w:val="000000"/>
          <w:sz w:val="26"/>
          <w:szCs w:val="26"/>
        </w:rPr>
      </w:pPr>
      <w:r w:rsidRPr="002D50DC">
        <w:rPr>
          <w:rFonts w:ascii="Arial" w:eastAsia="Times New Roman" w:hAnsi="Arial" w:cs="Arial"/>
          <w:b/>
          <w:bCs/>
          <w:color w:val="000000"/>
          <w:sz w:val="26"/>
          <w:szCs w:val="26"/>
        </w:rPr>
        <w:t>Print</w:t>
      </w:r>
    </w:p>
    <w:p w:rsidR="002D50DC" w:rsidRDefault="002D50DC"/>
    <w:sectPr w:rsidR="002D5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DB2"/>
    <w:multiLevelType w:val="multilevel"/>
    <w:tmpl w:val="F626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62B3"/>
    <w:multiLevelType w:val="multilevel"/>
    <w:tmpl w:val="7CC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64A16"/>
    <w:multiLevelType w:val="multilevel"/>
    <w:tmpl w:val="DDC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023DD"/>
    <w:multiLevelType w:val="multilevel"/>
    <w:tmpl w:val="255C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71F6F"/>
    <w:multiLevelType w:val="multilevel"/>
    <w:tmpl w:val="4BAC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A4D2B"/>
    <w:multiLevelType w:val="multilevel"/>
    <w:tmpl w:val="4372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DC"/>
    <w:rsid w:val="002D50DC"/>
    <w:rsid w:val="00445665"/>
    <w:rsid w:val="00BA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11AF"/>
  <w15:chartTrackingRefBased/>
  <w15:docId w15:val="{73B5864F-C0EF-4BCC-98A8-B2B8E723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50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D5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D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D50D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D50DC"/>
    <w:rPr>
      <w:color w:val="0000FF"/>
      <w:u w:val="single"/>
    </w:rPr>
  </w:style>
  <w:style w:type="paragraph" w:styleId="NormalWeb">
    <w:name w:val="Normal (Web)"/>
    <w:basedOn w:val="Normal"/>
    <w:uiPriority w:val="99"/>
    <w:semiHidden/>
    <w:unhideWhenUsed/>
    <w:rsid w:val="002D5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0DC"/>
    <w:rPr>
      <w:b/>
      <w:bCs/>
    </w:rPr>
  </w:style>
  <w:style w:type="character" w:styleId="Emphasis">
    <w:name w:val="Emphasis"/>
    <w:basedOn w:val="DefaultParagraphFont"/>
    <w:uiPriority w:val="20"/>
    <w:qFormat/>
    <w:rsid w:val="002D5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169024">
      <w:bodyDiv w:val="1"/>
      <w:marLeft w:val="0"/>
      <w:marRight w:val="0"/>
      <w:marTop w:val="0"/>
      <w:marBottom w:val="0"/>
      <w:divBdr>
        <w:top w:val="none" w:sz="0" w:space="0" w:color="auto"/>
        <w:left w:val="none" w:sz="0" w:space="0" w:color="auto"/>
        <w:bottom w:val="none" w:sz="0" w:space="0" w:color="auto"/>
        <w:right w:val="none" w:sz="0" w:space="0" w:color="auto"/>
      </w:divBdr>
      <w:divsChild>
        <w:div w:id="1495149685">
          <w:marLeft w:val="0"/>
          <w:marRight w:val="0"/>
          <w:marTop w:val="0"/>
          <w:marBottom w:val="480"/>
          <w:divBdr>
            <w:top w:val="none" w:sz="0" w:space="0" w:color="auto"/>
            <w:left w:val="none" w:sz="0" w:space="0" w:color="auto"/>
            <w:bottom w:val="none" w:sz="0" w:space="0" w:color="auto"/>
            <w:right w:val="none" w:sz="0" w:space="0" w:color="auto"/>
          </w:divBdr>
          <w:divsChild>
            <w:div w:id="338850856">
              <w:marLeft w:val="0"/>
              <w:marRight w:val="0"/>
              <w:marTop w:val="0"/>
              <w:marBottom w:val="0"/>
              <w:divBdr>
                <w:top w:val="none" w:sz="0" w:space="0" w:color="auto"/>
                <w:left w:val="none" w:sz="0" w:space="0" w:color="auto"/>
                <w:bottom w:val="none" w:sz="0" w:space="0" w:color="auto"/>
                <w:right w:val="none" w:sz="0" w:space="0" w:color="auto"/>
              </w:divBdr>
              <w:divsChild>
                <w:div w:id="1246837901">
                  <w:marLeft w:val="-225"/>
                  <w:marRight w:val="-225"/>
                  <w:marTop w:val="0"/>
                  <w:marBottom w:val="0"/>
                  <w:divBdr>
                    <w:top w:val="none" w:sz="0" w:space="0" w:color="auto"/>
                    <w:left w:val="none" w:sz="0" w:space="0" w:color="auto"/>
                    <w:bottom w:val="none" w:sz="0" w:space="0" w:color="auto"/>
                    <w:right w:val="none" w:sz="0" w:space="0" w:color="auto"/>
                  </w:divBdr>
                  <w:divsChild>
                    <w:div w:id="2145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923">
          <w:marLeft w:val="0"/>
          <w:marRight w:val="0"/>
          <w:marTop w:val="0"/>
          <w:marBottom w:val="0"/>
          <w:divBdr>
            <w:top w:val="none" w:sz="0" w:space="0" w:color="auto"/>
            <w:left w:val="none" w:sz="0" w:space="0" w:color="auto"/>
            <w:bottom w:val="none" w:sz="0" w:space="0" w:color="auto"/>
            <w:right w:val="none" w:sz="0" w:space="0" w:color="auto"/>
          </w:divBdr>
          <w:divsChild>
            <w:div w:id="450789114">
              <w:marLeft w:val="-225"/>
              <w:marRight w:val="-225"/>
              <w:marTop w:val="0"/>
              <w:marBottom w:val="0"/>
              <w:divBdr>
                <w:top w:val="none" w:sz="0" w:space="0" w:color="auto"/>
                <w:left w:val="none" w:sz="0" w:space="0" w:color="auto"/>
                <w:bottom w:val="none" w:sz="0" w:space="0" w:color="auto"/>
                <w:right w:val="none" w:sz="0" w:space="0" w:color="auto"/>
              </w:divBdr>
              <w:divsChild>
                <w:div w:id="1883784978">
                  <w:marLeft w:val="0"/>
                  <w:marRight w:val="0"/>
                  <w:marTop w:val="0"/>
                  <w:marBottom w:val="0"/>
                  <w:divBdr>
                    <w:top w:val="none" w:sz="0" w:space="0" w:color="auto"/>
                    <w:left w:val="none" w:sz="0" w:space="0" w:color="auto"/>
                    <w:bottom w:val="none" w:sz="0" w:space="0" w:color="auto"/>
                    <w:right w:val="none" w:sz="0" w:space="0" w:color="auto"/>
                  </w:divBdr>
                  <w:divsChild>
                    <w:div w:id="4844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5066">
          <w:marLeft w:val="0"/>
          <w:marRight w:val="0"/>
          <w:marTop w:val="0"/>
          <w:marBottom w:val="450"/>
          <w:divBdr>
            <w:top w:val="none" w:sz="0" w:space="0" w:color="auto"/>
            <w:left w:val="none" w:sz="0" w:space="0" w:color="auto"/>
            <w:bottom w:val="none" w:sz="0" w:space="0" w:color="auto"/>
            <w:right w:val="none" w:sz="0" w:space="0" w:color="auto"/>
          </w:divBdr>
          <w:divsChild>
            <w:div w:id="877743239">
              <w:marLeft w:val="-225"/>
              <w:marRight w:val="-225"/>
              <w:marTop w:val="0"/>
              <w:marBottom w:val="0"/>
              <w:divBdr>
                <w:top w:val="none" w:sz="0" w:space="0" w:color="auto"/>
                <w:left w:val="none" w:sz="0" w:space="0" w:color="auto"/>
                <w:bottom w:val="none" w:sz="0" w:space="0" w:color="auto"/>
                <w:right w:val="none" w:sz="0" w:space="0" w:color="auto"/>
              </w:divBdr>
              <w:divsChild>
                <w:div w:id="1103455032">
                  <w:marLeft w:val="0"/>
                  <w:marRight w:val="0"/>
                  <w:marTop w:val="0"/>
                  <w:marBottom w:val="0"/>
                  <w:divBdr>
                    <w:top w:val="none" w:sz="0" w:space="0" w:color="auto"/>
                    <w:left w:val="none" w:sz="0" w:space="0" w:color="auto"/>
                    <w:bottom w:val="none" w:sz="0" w:space="0" w:color="auto"/>
                    <w:right w:val="none" w:sz="0" w:space="0" w:color="auto"/>
                  </w:divBdr>
                  <w:divsChild>
                    <w:div w:id="272590063">
                      <w:marLeft w:val="0"/>
                      <w:marRight w:val="0"/>
                      <w:marTop w:val="0"/>
                      <w:marBottom w:val="0"/>
                      <w:divBdr>
                        <w:top w:val="none" w:sz="0" w:space="0" w:color="auto"/>
                        <w:left w:val="none" w:sz="0" w:space="0" w:color="auto"/>
                        <w:bottom w:val="none" w:sz="0" w:space="0" w:color="auto"/>
                        <w:right w:val="none" w:sz="0" w:space="0" w:color="auto"/>
                      </w:divBdr>
                    </w:div>
                  </w:divsChild>
                </w:div>
                <w:div w:id="664746586">
                  <w:marLeft w:val="0"/>
                  <w:marRight w:val="0"/>
                  <w:marTop w:val="0"/>
                  <w:marBottom w:val="0"/>
                  <w:divBdr>
                    <w:top w:val="none" w:sz="0" w:space="0" w:color="auto"/>
                    <w:left w:val="none" w:sz="0" w:space="0" w:color="auto"/>
                    <w:bottom w:val="none" w:sz="0" w:space="0" w:color="auto"/>
                    <w:right w:val="none" w:sz="0" w:space="0" w:color="auto"/>
                  </w:divBdr>
                  <w:divsChild>
                    <w:div w:id="1500847197">
                      <w:marLeft w:val="0"/>
                      <w:marRight w:val="0"/>
                      <w:marTop w:val="0"/>
                      <w:marBottom w:val="0"/>
                      <w:divBdr>
                        <w:top w:val="none" w:sz="0" w:space="0" w:color="auto"/>
                        <w:left w:val="none" w:sz="0" w:space="0" w:color="auto"/>
                        <w:bottom w:val="none" w:sz="0" w:space="0" w:color="auto"/>
                        <w:right w:val="none" w:sz="0" w:space="0" w:color="auto"/>
                      </w:divBdr>
                      <w:divsChild>
                        <w:div w:id="812020212">
                          <w:marLeft w:val="0"/>
                          <w:marRight w:val="0"/>
                          <w:marTop w:val="0"/>
                          <w:marBottom w:val="0"/>
                          <w:divBdr>
                            <w:top w:val="none" w:sz="0" w:space="0" w:color="auto"/>
                            <w:left w:val="none" w:sz="0" w:space="0" w:color="auto"/>
                            <w:bottom w:val="none" w:sz="0" w:space="0" w:color="auto"/>
                            <w:right w:val="none" w:sz="0" w:space="0" w:color="auto"/>
                          </w:divBdr>
                          <w:divsChild>
                            <w:div w:id="1416246921">
                              <w:marLeft w:val="0"/>
                              <w:marRight w:val="0"/>
                              <w:marTop w:val="0"/>
                              <w:marBottom w:val="0"/>
                              <w:divBdr>
                                <w:top w:val="none" w:sz="0" w:space="0" w:color="auto"/>
                                <w:left w:val="none" w:sz="0" w:space="0" w:color="auto"/>
                                <w:bottom w:val="none" w:sz="0" w:space="0" w:color="auto"/>
                                <w:right w:val="none" w:sz="0" w:space="0" w:color="auto"/>
                              </w:divBdr>
                              <w:divsChild>
                                <w:div w:id="1870486900">
                                  <w:marLeft w:val="0"/>
                                  <w:marRight w:val="0"/>
                                  <w:marTop w:val="0"/>
                                  <w:marBottom w:val="0"/>
                                  <w:divBdr>
                                    <w:top w:val="none" w:sz="0" w:space="0" w:color="auto"/>
                                    <w:left w:val="none" w:sz="0" w:space="0" w:color="auto"/>
                                    <w:bottom w:val="none" w:sz="0" w:space="0" w:color="auto"/>
                                    <w:right w:val="none" w:sz="0" w:space="0" w:color="auto"/>
                                  </w:divBdr>
                                </w:div>
                                <w:div w:id="1092625071">
                                  <w:marLeft w:val="0"/>
                                  <w:marRight w:val="0"/>
                                  <w:marTop w:val="0"/>
                                  <w:marBottom w:val="0"/>
                                  <w:divBdr>
                                    <w:top w:val="none" w:sz="0" w:space="0" w:color="auto"/>
                                    <w:left w:val="none" w:sz="0" w:space="0" w:color="auto"/>
                                    <w:bottom w:val="none" w:sz="0" w:space="0" w:color="auto"/>
                                    <w:right w:val="none" w:sz="0" w:space="0" w:color="auto"/>
                                  </w:divBdr>
                                </w:div>
                                <w:div w:id="353463338">
                                  <w:marLeft w:val="0"/>
                                  <w:marRight w:val="0"/>
                                  <w:marTop w:val="0"/>
                                  <w:marBottom w:val="0"/>
                                  <w:divBdr>
                                    <w:top w:val="none" w:sz="0" w:space="0" w:color="auto"/>
                                    <w:left w:val="none" w:sz="0" w:space="0" w:color="auto"/>
                                    <w:bottom w:val="none" w:sz="0" w:space="0" w:color="auto"/>
                                    <w:right w:val="none" w:sz="0" w:space="0" w:color="auto"/>
                                  </w:divBdr>
                                </w:div>
                                <w:div w:id="854459874">
                                  <w:marLeft w:val="0"/>
                                  <w:marRight w:val="0"/>
                                  <w:marTop w:val="0"/>
                                  <w:marBottom w:val="0"/>
                                  <w:divBdr>
                                    <w:top w:val="none" w:sz="0" w:space="0" w:color="auto"/>
                                    <w:left w:val="none" w:sz="0" w:space="0" w:color="auto"/>
                                    <w:bottom w:val="none" w:sz="0" w:space="0" w:color="auto"/>
                                    <w:right w:val="none" w:sz="0" w:space="0" w:color="auto"/>
                                  </w:divBdr>
                                </w:div>
                                <w:div w:id="1602950041">
                                  <w:marLeft w:val="0"/>
                                  <w:marRight w:val="0"/>
                                  <w:marTop w:val="0"/>
                                  <w:marBottom w:val="0"/>
                                  <w:divBdr>
                                    <w:top w:val="none" w:sz="0" w:space="0" w:color="auto"/>
                                    <w:left w:val="none" w:sz="0" w:space="0" w:color="auto"/>
                                    <w:bottom w:val="none" w:sz="0" w:space="0" w:color="auto"/>
                                    <w:right w:val="none" w:sz="0" w:space="0" w:color="auto"/>
                                  </w:divBdr>
                                </w:div>
                                <w:div w:id="1412046137">
                                  <w:marLeft w:val="0"/>
                                  <w:marRight w:val="0"/>
                                  <w:marTop w:val="0"/>
                                  <w:marBottom w:val="0"/>
                                  <w:divBdr>
                                    <w:top w:val="none" w:sz="0" w:space="0" w:color="auto"/>
                                    <w:left w:val="none" w:sz="0" w:space="0" w:color="auto"/>
                                    <w:bottom w:val="none" w:sz="0" w:space="0" w:color="auto"/>
                                    <w:right w:val="none" w:sz="0" w:space="0" w:color="auto"/>
                                  </w:divBdr>
                                </w:div>
                                <w:div w:id="6372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10422">
          <w:marLeft w:val="0"/>
          <w:marRight w:val="0"/>
          <w:marTop w:val="0"/>
          <w:marBottom w:val="0"/>
          <w:divBdr>
            <w:top w:val="none" w:sz="0" w:space="0" w:color="auto"/>
            <w:left w:val="none" w:sz="0" w:space="0" w:color="auto"/>
            <w:bottom w:val="none" w:sz="0" w:space="0" w:color="auto"/>
            <w:right w:val="none" w:sz="0" w:space="0" w:color="auto"/>
          </w:divBdr>
          <w:divsChild>
            <w:div w:id="1080297876">
              <w:marLeft w:val="0"/>
              <w:marRight w:val="0"/>
              <w:marTop w:val="0"/>
              <w:marBottom w:val="300"/>
              <w:divBdr>
                <w:top w:val="single" w:sz="6" w:space="0" w:color="CCCCCC"/>
                <w:left w:val="single" w:sz="6" w:space="15" w:color="CCCCCC"/>
                <w:bottom w:val="single" w:sz="6" w:space="0" w:color="CCCCCC"/>
                <w:right w:val="single" w:sz="6" w:space="15" w:color="CCCCCC"/>
              </w:divBdr>
              <w:divsChild>
                <w:div w:id="1814179507">
                  <w:marLeft w:val="0"/>
                  <w:marRight w:val="0"/>
                  <w:marTop w:val="0"/>
                  <w:marBottom w:val="0"/>
                  <w:divBdr>
                    <w:top w:val="none" w:sz="0" w:space="0" w:color="auto"/>
                    <w:left w:val="none" w:sz="0" w:space="0" w:color="auto"/>
                    <w:bottom w:val="none" w:sz="0" w:space="0" w:color="auto"/>
                    <w:right w:val="none" w:sz="0" w:space="0" w:color="auto"/>
                  </w:divBdr>
                </w:div>
                <w:div w:id="150292620">
                  <w:marLeft w:val="0"/>
                  <w:marRight w:val="0"/>
                  <w:marTop w:val="0"/>
                  <w:marBottom w:val="0"/>
                  <w:divBdr>
                    <w:top w:val="none" w:sz="0" w:space="0" w:color="auto"/>
                    <w:left w:val="none" w:sz="0" w:space="0" w:color="auto"/>
                    <w:bottom w:val="none" w:sz="0" w:space="0" w:color="auto"/>
                    <w:right w:val="none" w:sz="0" w:space="0" w:color="auto"/>
                  </w:divBdr>
                  <w:divsChild>
                    <w:div w:id="908343857">
                      <w:marLeft w:val="0"/>
                      <w:marRight w:val="0"/>
                      <w:marTop w:val="0"/>
                      <w:marBottom w:val="0"/>
                      <w:divBdr>
                        <w:top w:val="none" w:sz="0" w:space="0" w:color="auto"/>
                        <w:left w:val="none" w:sz="0" w:space="0" w:color="auto"/>
                        <w:bottom w:val="none" w:sz="0" w:space="0" w:color="auto"/>
                        <w:right w:val="none" w:sz="0" w:space="0" w:color="auto"/>
                      </w:divBdr>
                      <w:divsChild>
                        <w:div w:id="20688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s.gov/government-entities/federal-state-local-governments/information-returns" TargetMode="External"/><Relationship Id="rId18" Type="http://schemas.openxmlformats.org/officeDocument/2006/relationships/hyperlink" Target="https://www.irs.gov/government-entities/federal-state-local-governments/fslg-toolkit" TargetMode="External"/><Relationship Id="rId26" Type="http://schemas.openxmlformats.org/officeDocument/2006/relationships/hyperlink" Target="https://www.irs.gov/publications/p571" TargetMode="External"/><Relationship Id="rId21" Type="http://schemas.openxmlformats.org/officeDocument/2006/relationships/hyperlink" Target="https://www.irs.gov/government-entities/webinars-for-tax-exempt-government-entities" TargetMode="External"/><Relationship Id="rId34" Type="http://schemas.openxmlformats.org/officeDocument/2006/relationships/hyperlink" Target="https://www.irs.gov/retirement-plans/irc-403b-tax-sheltered-annuity-plans" TargetMode="External"/><Relationship Id="rId7" Type="http://schemas.openxmlformats.org/officeDocument/2006/relationships/hyperlink" Target="https://www.irs.gov/businesses" TargetMode="External"/><Relationship Id="rId12" Type="http://schemas.openxmlformats.org/officeDocument/2006/relationships/hyperlink" Target="https://www.irs.gov/government-entities/federal-state-local-governments/getting-started-with-federal-state-and-local-governments" TargetMode="External"/><Relationship Id="rId17" Type="http://schemas.openxmlformats.org/officeDocument/2006/relationships/hyperlink" Target="https://www.irs.gov/government-entities/federal-state-local-governments/federal-state-local-employment-tax-fslet-customer-services" TargetMode="External"/><Relationship Id="rId25" Type="http://schemas.openxmlformats.org/officeDocument/2006/relationships/hyperlink" Target="https://www.irs.gov/retirement-plans/plan-participant-employee/retirement-topics-403b-contribution-limits" TargetMode="External"/><Relationship Id="rId33" Type="http://schemas.openxmlformats.org/officeDocument/2006/relationships/hyperlink" Target="https://www.irs.gov/pub/irs-pdf/iw2w3.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government-entities/federal-state-local-governments/irs-news-and-published-guidance" TargetMode="External"/><Relationship Id="rId20" Type="http://schemas.openxmlformats.org/officeDocument/2006/relationships/hyperlink" Target="https://www.irs.gov/government-entities/indian-tribal-governments" TargetMode="External"/><Relationship Id="rId29" Type="http://schemas.openxmlformats.org/officeDocument/2006/relationships/hyperlink" Target="https://www.irs.gov/pub/irs-drop/n-03-20.pdf" TargetMode="External"/><Relationship Id="rId1" Type="http://schemas.openxmlformats.org/officeDocument/2006/relationships/numbering" Target="numbering.xml"/><Relationship Id="rId6" Type="http://schemas.openxmlformats.org/officeDocument/2006/relationships/hyperlink" Target="https://www.irs.gov/individuals" TargetMode="External"/><Relationship Id="rId11" Type="http://schemas.openxmlformats.org/officeDocument/2006/relationships/hyperlink" Target="https://www.irs.gov/government-entities/federal-state-local-governments" TargetMode="External"/><Relationship Id="rId24" Type="http://schemas.openxmlformats.org/officeDocument/2006/relationships/hyperlink" Target="https://www.irs.gov/pub/irs-pdf/p963.pdf" TargetMode="External"/><Relationship Id="rId32" Type="http://schemas.openxmlformats.org/officeDocument/2006/relationships/hyperlink" Target="https://www.irs.gov/publications/p571" TargetMode="External"/><Relationship Id="rId37" Type="http://schemas.openxmlformats.org/officeDocument/2006/relationships/fontTable" Target="fontTable.xml"/><Relationship Id="rId5" Type="http://schemas.openxmlformats.org/officeDocument/2006/relationships/hyperlink" Target="https://www.irs.gov/government-entities/federal-state-local-governments/government-retirement-plans-toolkit" TargetMode="External"/><Relationship Id="rId15" Type="http://schemas.openxmlformats.org/officeDocument/2006/relationships/hyperlink" Target="https://www.irs.gov/government-entities/federal-state-local-governments/after-filing" TargetMode="External"/><Relationship Id="rId23" Type="http://schemas.openxmlformats.org/officeDocument/2006/relationships/hyperlink" Target="https://www.irs.gov/tax-exempt-bonds" TargetMode="External"/><Relationship Id="rId28" Type="http://schemas.openxmlformats.org/officeDocument/2006/relationships/hyperlink" Target="https://www.irs.gov/retirement-plans/plan-participant-employee/retirement-topics-457b-contribution-limits" TargetMode="External"/><Relationship Id="rId36" Type="http://schemas.openxmlformats.org/officeDocument/2006/relationships/hyperlink" Target="https://www.irs.gov/government-entities/federal-state-local-governments/government-retirement-plans-toolkit" TargetMode="External"/><Relationship Id="rId10" Type="http://schemas.openxmlformats.org/officeDocument/2006/relationships/hyperlink" Target="https://www.irs.gov/government-entities" TargetMode="External"/><Relationship Id="rId19" Type="http://schemas.openxmlformats.org/officeDocument/2006/relationships/hyperlink" Target="https://www.irs.gov/government-entities/federal-state-local-governments/affordable-care-act-aca-information-for-government-entities" TargetMode="External"/><Relationship Id="rId31" Type="http://schemas.openxmlformats.org/officeDocument/2006/relationships/hyperlink" Target="https://www.irs.gov/pub/irs-pdf/p963.pdf" TargetMode="External"/><Relationship Id="rId4" Type="http://schemas.openxmlformats.org/officeDocument/2006/relationships/webSettings" Target="webSettings.xml"/><Relationship Id="rId9" Type="http://schemas.openxmlformats.org/officeDocument/2006/relationships/hyperlink" Target="https://www.irs.gov/individuals/international-taxpayers" TargetMode="External"/><Relationship Id="rId14" Type="http://schemas.openxmlformats.org/officeDocument/2006/relationships/hyperlink" Target="https://www.irs.gov/government-entities/federal-state-local-governments/employer-and-pay-related-issues" TargetMode="External"/><Relationship Id="rId22" Type="http://schemas.openxmlformats.org/officeDocument/2006/relationships/hyperlink" Target="https://www.irs.gov/government-entities/governmental-liaisons" TargetMode="External"/><Relationship Id="rId27" Type="http://schemas.openxmlformats.org/officeDocument/2006/relationships/hyperlink" Target="https://www.irs.gov/pub/irs-drop/n-03-20.pdf" TargetMode="External"/><Relationship Id="rId30" Type="http://schemas.openxmlformats.org/officeDocument/2006/relationships/hyperlink" Target="https://www.irs.gov/pub/irs-drop/n-07-62.pdf" TargetMode="External"/><Relationship Id="rId35" Type="http://schemas.openxmlformats.org/officeDocument/2006/relationships/hyperlink" Target="https://www.irs.gov/retirement-plans/irc-457b-deferred-compensation-plans" TargetMode="External"/><Relationship Id="rId8" Type="http://schemas.openxmlformats.org/officeDocument/2006/relationships/hyperlink" Target="https://www.irs.gov/charities-and-nonprofi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2472</Words>
  <Characters>14091</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Government Retirement Plans Toolkit</vt:lpstr>
      <vt:lpstr>        Public Retirement Systems (FICA Replacement Plans)</vt:lpstr>
      <vt:lpstr>        Types of Public Employer Plans </vt:lpstr>
      <vt:lpstr>        Key Terms and Concepts</vt:lpstr>
      <vt:lpstr>        Section 401(a) Qualified Plans</vt:lpstr>
      <vt:lpstr>        Section 403(b) Plans</vt:lpstr>
      <vt:lpstr>        Section 457(b) Plans</vt:lpstr>
      <vt:lpstr>        Section 457(f) Plans</vt:lpstr>
      <vt:lpstr>        Form W-2 Reporting</vt:lpstr>
      <vt:lpstr>        Resources for Further Information</vt:lpstr>
    </vt:vector>
  </TitlesOfParts>
  <Company>Fredericksburg ISD</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Ottmers</dc:creator>
  <cp:keywords/>
  <dc:description/>
  <cp:lastModifiedBy>Deborah Ottmers</cp:lastModifiedBy>
  <cp:revision>1</cp:revision>
  <dcterms:created xsi:type="dcterms:W3CDTF">2020-07-04T13:34:00Z</dcterms:created>
  <dcterms:modified xsi:type="dcterms:W3CDTF">2020-07-04T13:35:00Z</dcterms:modified>
</cp:coreProperties>
</file>