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705" w:rsidRPr="00BF3705" w:rsidRDefault="00601327" w:rsidP="00C664F1">
      <w:pPr>
        <w:autoSpaceDE w:val="0"/>
        <w:autoSpaceDN w:val="0"/>
        <w:adjustRightInd w:val="0"/>
        <w:spacing w:after="0" w:line="240" w:lineRule="auto"/>
        <w:ind w:left="-540" w:right="-720"/>
        <w:jc w:val="center"/>
        <w:rPr>
          <w:rFonts w:cs="Times New Roman"/>
          <w:i/>
          <w:color w:val="000000"/>
          <w:sz w:val="23"/>
          <w:szCs w:val="23"/>
        </w:rPr>
      </w:pPr>
      <w:r w:rsidRPr="00601327">
        <w:rPr>
          <w:rFonts w:cs="Times New Roman"/>
          <w:b/>
          <w:bCs/>
          <w:i/>
          <w:noProof/>
          <w:color w:val="000000"/>
          <w:sz w:val="23"/>
          <w:szCs w:val="23"/>
        </w:rPr>
        <mc:AlternateContent>
          <mc:Choice Requires="wps">
            <w:drawing>
              <wp:anchor distT="45720" distB="45720" distL="114300" distR="114300" simplePos="0" relativeHeight="251659264" behindDoc="1" locked="0" layoutInCell="1" allowOverlap="1">
                <wp:simplePos x="0" y="0"/>
                <wp:positionH relativeFrom="page">
                  <wp:posOffset>5715000</wp:posOffset>
                </wp:positionH>
                <wp:positionV relativeFrom="paragraph">
                  <wp:posOffset>-400050</wp:posOffset>
                </wp:positionV>
                <wp:extent cx="1802130" cy="1404620"/>
                <wp:effectExtent l="0" t="0" r="762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1404620"/>
                        </a:xfrm>
                        <a:prstGeom prst="rect">
                          <a:avLst/>
                        </a:prstGeom>
                        <a:solidFill>
                          <a:srgbClr val="FFFFFF"/>
                        </a:solidFill>
                        <a:ln w="9525">
                          <a:noFill/>
                          <a:miter lim="800000"/>
                          <a:headEnd/>
                          <a:tailEnd/>
                        </a:ln>
                      </wps:spPr>
                      <wps:txbx>
                        <w:txbxContent>
                          <w:p w:rsidR="00601327" w:rsidRPr="00601327" w:rsidRDefault="00601327">
                            <w:pPr>
                              <w:rPr>
                                <w:i/>
                              </w:rPr>
                            </w:pPr>
                            <w:r w:rsidRPr="00601327">
                              <w:rPr>
                                <w:i/>
                              </w:rPr>
                              <w:t>Revised September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0pt;margin-top:-31.5pt;width:141.9pt;height:110.6pt;z-index:-25165721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bcPIAIAAB4EAAAOAAAAZHJzL2Uyb0RvYy54bWysU9tuGyEQfa/Uf0C813upnTgrr6PUqatK&#10;6UVK+gEsy3pRgaGAvet+fQfWcaz0rSoPCJjhcObMYXU7akUOwnkJpqbFLKdEGA6tNLua/njavltS&#10;4gMzLVNgRE2PwtPb9ds3q8FWooQeVCscQRDjq8HWtA/BVlnmeS808zOwwmCwA6dZwK3bZa1jA6Jr&#10;lZV5fpUN4FrrgAvv8fR+CtJ1wu86wcO3rvMiEFVT5BbS7NLcxDlbr1i1c8z2kp9osH9goZk0+OgZ&#10;6p4FRvZO/gWlJXfgoQszDjqDrpNcpBqwmiJ/Vc1jz6xItaA43p5l8v8Pln89fHdEtjUti2tKDNPY&#10;pCcxBvIBRlJGfQbrK0x7tJgYRjzGPqdavX0A/tMTA5uemZ24cw6GXrAW+RXxZnZxdcLxEaQZvkCL&#10;z7B9gAQ0dk5H8VAOgujYp+O5N5EKj08u87J4jyGOsWKez6/K1L2MVc/XrfPhkwBN4qKmDpuf4Nnh&#10;wYdIh1XPKfE1D0q2W6lU2rhds1GOHBgaZZtGquBVmjJkqOnNolwkZAPxfvKQlgGNrKSu6TKPY7JW&#10;lOOjaVNKYFJNa2SizEmfKMkkThibEROjaA20R1TKwWRY/GC46MH9pmRAs9bU/9ozJyhRnw2qfVPM&#10;59HdaTNfXKM0xF1GmssIMxyhahoomZabkH5E0sHeYVe2Mun1wuTEFU2YZDx9mOjyy33KevnW6z8A&#10;AAD//wMAUEsDBBQABgAIAAAAIQCDwzVf4AAAAAwBAAAPAAAAZHJzL2Rvd25yZXYueG1sTI/NasMw&#10;EITvhb6D2EJviZSEBNe1HEJDLz0Ukhbao2KtLVP9GElx3Lfv5pTeZthhdr5qOznLRoypD17CYi6A&#10;oW+C7n0n4fPjdVYAS1l5rWzwKOEXE2zr+7tKlTpc/AHHY+4YlfhUKgkm56HkPDUGnUrzMKCnWxui&#10;U5ls7LiO6kLlzvKlEBvuVO/pg1EDvhhsfo5nJ+HLmV7v4/t3q+24f2t362GKg5SPD9PuGVjGKd/C&#10;cJ1P06GmTadw9joxK+FJCGLJEmabFYlrYlGsiOZEal0sgdcV/w9R/wEAAP//AwBQSwECLQAUAAYA&#10;CAAAACEAtoM4kv4AAADhAQAAEwAAAAAAAAAAAAAAAAAAAAAAW0NvbnRlbnRfVHlwZXNdLnhtbFBL&#10;AQItABQABgAIAAAAIQA4/SH/1gAAAJQBAAALAAAAAAAAAAAAAAAAAC8BAABfcmVscy8ucmVsc1BL&#10;AQItABQABgAIAAAAIQAm6bcPIAIAAB4EAAAOAAAAAAAAAAAAAAAAAC4CAABkcnMvZTJvRG9jLnht&#10;bFBLAQItABQABgAIAAAAIQCDwzVf4AAAAAwBAAAPAAAAAAAAAAAAAAAAAHoEAABkcnMvZG93bnJl&#10;di54bWxQSwUGAAAAAAQABADzAAAAhwUAAAAA&#10;" stroked="f">
                <v:textbox style="mso-fit-shape-to-text:t">
                  <w:txbxContent>
                    <w:p w:rsidR="00601327" w:rsidRPr="00601327" w:rsidRDefault="00601327">
                      <w:pPr>
                        <w:rPr>
                          <w:i/>
                        </w:rPr>
                      </w:pPr>
                      <w:r w:rsidRPr="00601327">
                        <w:rPr>
                          <w:i/>
                        </w:rPr>
                        <w:t>Revised September 2021</w:t>
                      </w:r>
                    </w:p>
                  </w:txbxContent>
                </v:textbox>
                <w10:wrap anchorx="page"/>
              </v:shape>
            </w:pict>
          </mc:Fallback>
        </mc:AlternateContent>
      </w:r>
      <w:r w:rsidR="00BF3705" w:rsidRPr="00BF3705">
        <w:rPr>
          <w:rFonts w:cs="Times New Roman"/>
          <w:b/>
          <w:bCs/>
          <w:i/>
          <w:color w:val="000000"/>
          <w:sz w:val="23"/>
          <w:szCs w:val="23"/>
        </w:rPr>
        <w:t>Virginia Department of Education</w:t>
      </w:r>
    </w:p>
    <w:p w:rsidR="00BF3705" w:rsidRPr="00BF3705" w:rsidRDefault="00BF3705" w:rsidP="00C664F1">
      <w:pPr>
        <w:autoSpaceDE w:val="0"/>
        <w:autoSpaceDN w:val="0"/>
        <w:adjustRightInd w:val="0"/>
        <w:spacing w:after="0" w:line="240" w:lineRule="auto"/>
        <w:ind w:left="-540" w:right="-720"/>
        <w:jc w:val="center"/>
        <w:rPr>
          <w:rFonts w:cs="Times New Roman"/>
          <w:i/>
          <w:color w:val="000000"/>
          <w:sz w:val="23"/>
          <w:szCs w:val="23"/>
        </w:rPr>
      </w:pPr>
      <w:r w:rsidRPr="00BF3705">
        <w:rPr>
          <w:rFonts w:cs="Times New Roman"/>
          <w:b/>
          <w:bCs/>
          <w:i/>
          <w:color w:val="000000"/>
          <w:sz w:val="23"/>
          <w:szCs w:val="23"/>
        </w:rPr>
        <w:t>Division of Teacher Education and Licensure</w:t>
      </w:r>
    </w:p>
    <w:p w:rsidR="00BF3705" w:rsidRPr="00BF3705" w:rsidRDefault="00C664F1" w:rsidP="00C664F1">
      <w:pPr>
        <w:autoSpaceDE w:val="0"/>
        <w:autoSpaceDN w:val="0"/>
        <w:adjustRightInd w:val="0"/>
        <w:spacing w:after="0" w:line="240" w:lineRule="auto"/>
        <w:ind w:left="-540" w:right="-720"/>
        <w:jc w:val="center"/>
        <w:rPr>
          <w:rFonts w:cs="Times New Roman"/>
          <w:i/>
          <w:color w:val="000000"/>
          <w:sz w:val="23"/>
          <w:szCs w:val="23"/>
        </w:rPr>
      </w:pPr>
      <w:r>
        <w:rPr>
          <w:rFonts w:cs="Times New Roman"/>
          <w:b/>
          <w:bCs/>
          <w:i/>
          <w:color w:val="000000"/>
          <w:sz w:val="23"/>
          <w:szCs w:val="23"/>
        </w:rPr>
        <w:t>PO</w:t>
      </w:r>
      <w:r w:rsidR="00BF3705" w:rsidRPr="00BF3705">
        <w:rPr>
          <w:rFonts w:cs="Times New Roman"/>
          <w:b/>
          <w:bCs/>
          <w:i/>
          <w:color w:val="000000"/>
          <w:sz w:val="23"/>
          <w:szCs w:val="23"/>
        </w:rPr>
        <w:t xml:space="preserve"> Box 2120</w:t>
      </w:r>
    </w:p>
    <w:p w:rsidR="00BF3705" w:rsidRDefault="00BF3705" w:rsidP="00C664F1">
      <w:pPr>
        <w:autoSpaceDE w:val="0"/>
        <w:autoSpaceDN w:val="0"/>
        <w:adjustRightInd w:val="0"/>
        <w:spacing w:after="0" w:line="240" w:lineRule="auto"/>
        <w:ind w:left="-540" w:right="-720"/>
        <w:jc w:val="center"/>
        <w:rPr>
          <w:rFonts w:cs="Times New Roman"/>
          <w:b/>
          <w:bCs/>
          <w:i/>
          <w:color w:val="000000"/>
          <w:sz w:val="23"/>
          <w:szCs w:val="23"/>
        </w:rPr>
      </w:pPr>
      <w:r w:rsidRPr="00BF3705">
        <w:rPr>
          <w:rFonts w:cs="Times New Roman"/>
          <w:b/>
          <w:bCs/>
          <w:i/>
          <w:color w:val="000000"/>
          <w:sz w:val="23"/>
          <w:szCs w:val="23"/>
        </w:rPr>
        <w:t>Richmond, Virginia 23218-2120</w:t>
      </w:r>
      <w:bookmarkStart w:id="0" w:name="_GoBack"/>
      <w:bookmarkEnd w:id="0"/>
    </w:p>
    <w:p w:rsidR="00BF3705" w:rsidRDefault="00BF3705" w:rsidP="00C664F1">
      <w:pPr>
        <w:autoSpaceDE w:val="0"/>
        <w:autoSpaceDN w:val="0"/>
        <w:adjustRightInd w:val="0"/>
        <w:spacing w:after="0" w:line="240" w:lineRule="auto"/>
        <w:ind w:left="-540" w:right="-720"/>
        <w:jc w:val="center"/>
        <w:rPr>
          <w:rFonts w:cs="Times New Roman"/>
          <w:b/>
          <w:bCs/>
          <w:i/>
          <w:color w:val="000000"/>
          <w:sz w:val="23"/>
          <w:szCs w:val="23"/>
        </w:rPr>
      </w:pPr>
    </w:p>
    <w:p w:rsidR="00BF3705" w:rsidRPr="00BF3705" w:rsidRDefault="00BF3705" w:rsidP="00C664F1">
      <w:pPr>
        <w:autoSpaceDE w:val="0"/>
        <w:autoSpaceDN w:val="0"/>
        <w:adjustRightInd w:val="0"/>
        <w:spacing w:after="0" w:line="240" w:lineRule="auto"/>
        <w:ind w:left="-540" w:right="-720"/>
        <w:jc w:val="center"/>
        <w:rPr>
          <w:rFonts w:cs="Times New Roman"/>
          <w:i/>
          <w:color w:val="000000"/>
          <w:sz w:val="23"/>
          <w:szCs w:val="23"/>
        </w:rPr>
      </w:pPr>
    </w:p>
    <w:p w:rsidR="00BF3705" w:rsidRPr="00BF3705" w:rsidRDefault="00BF3705" w:rsidP="00C664F1">
      <w:pPr>
        <w:autoSpaceDE w:val="0"/>
        <w:autoSpaceDN w:val="0"/>
        <w:adjustRightInd w:val="0"/>
        <w:spacing w:after="0" w:line="240" w:lineRule="auto"/>
        <w:ind w:left="-540" w:right="-720"/>
        <w:jc w:val="center"/>
        <w:rPr>
          <w:rFonts w:cs="Times New Roman"/>
          <w:color w:val="000000"/>
          <w:sz w:val="28"/>
          <w:szCs w:val="28"/>
        </w:rPr>
      </w:pPr>
      <w:r w:rsidRPr="00BF3705">
        <w:rPr>
          <w:rFonts w:cs="Times New Roman"/>
          <w:b/>
          <w:bCs/>
          <w:color w:val="000000"/>
          <w:sz w:val="28"/>
          <w:szCs w:val="28"/>
        </w:rPr>
        <w:t>FEE SCHEDULE FOR LICENSURE</w:t>
      </w:r>
    </w:p>
    <w:p w:rsidR="00BF3705" w:rsidRDefault="00BF3705" w:rsidP="00C664F1">
      <w:pPr>
        <w:pStyle w:val="Default"/>
        <w:ind w:left="-540" w:right="-720"/>
        <w:rPr>
          <w:b/>
          <w:bCs/>
        </w:rPr>
      </w:pPr>
    </w:p>
    <w:p w:rsidR="00BF3705" w:rsidRDefault="00BF3705" w:rsidP="00C664F1">
      <w:pPr>
        <w:pStyle w:val="Default"/>
        <w:ind w:left="-540" w:right="-720" w:hanging="720"/>
        <w:jc w:val="center"/>
        <w:rPr>
          <w:b/>
          <w:bCs/>
        </w:rPr>
      </w:pPr>
      <w:r>
        <w:rPr>
          <w:b/>
          <w:bCs/>
        </w:rPr>
        <w:t>EFFECTIVE JANUARY 1, 2019</w:t>
      </w:r>
    </w:p>
    <w:p w:rsidR="00BF3705" w:rsidRDefault="00BF3705" w:rsidP="00C664F1">
      <w:pPr>
        <w:pStyle w:val="Default"/>
        <w:ind w:left="-540" w:right="-720"/>
        <w:rPr>
          <w:b/>
          <w:bCs/>
        </w:rPr>
      </w:pPr>
    </w:p>
    <w:p w:rsidR="00C664F1" w:rsidRPr="00060733" w:rsidRDefault="001D3E57" w:rsidP="00C664F1">
      <w:pPr>
        <w:ind w:left="-540" w:right="-720"/>
        <w:rPr>
          <w:u w:val="single"/>
        </w:rPr>
      </w:pPr>
      <w:r>
        <w:t xml:space="preserve">On November 15, 2018, the Board of Education approved the following revised Licensure Fee Schedule, </w:t>
      </w:r>
      <w:r>
        <w:rPr>
          <w:b/>
          <w:bCs/>
          <w:u w:val="single"/>
        </w:rPr>
        <w:t>effective January 1, 2019</w:t>
      </w:r>
      <w:r>
        <w:t xml:space="preserve">.  </w:t>
      </w:r>
      <w:r w:rsidR="00BF3705" w:rsidRPr="00BF3705">
        <w:rPr>
          <w:bCs/>
        </w:rPr>
        <w:t xml:space="preserve">Requests for the following actions must be accompanied by a personal check, money order, certified check, or cashier’s check made payable to the Treasurer of Virginia.  A $50 processing fee </w:t>
      </w:r>
      <w:proofErr w:type="gramStart"/>
      <w:r w:rsidR="00BF3705" w:rsidRPr="00BF3705">
        <w:rPr>
          <w:bCs/>
        </w:rPr>
        <w:t>will be charged</w:t>
      </w:r>
      <w:proofErr w:type="gramEnd"/>
      <w:r w:rsidR="00BF3705" w:rsidRPr="00BF3705">
        <w:rPr>
          <w:bCs/>
        </w:rPr>
        <w:t xml:space="preserve"> for a returned check.</w:t>
      </w:r>
      <w:r w:rsidR="00C664F1">
        <w:rPr>
          <w:bCs/>
        </w:rPr>
        <w:t xml:space="preserve"> </w:t>
      </w:r>
      <w:r w:rsidR="00C664F1">
        <w:t xml:space="preserve">Applicants may also utilize the Pay Now feature on the Office of Licensure website to pay for the application fee upfront. Please note that if this option </w:t>
      </w:r>
      <w:proofErr w:type="gramStart"/>
      <w:r w:rsidR="00C664F1">
        <w:t>is utilized</w:t>
      </w:r>
      <w:proofErr w:type="gramEnd"/>
      <w:r w:rsidR="00C664F1">
        <w:t xml:space="preserve">, the receipt must be </w:t>
      </w:r>
      <w:r w:rsidR="00C664F1" w:rsidRPr="002E7BD3">
        <w:rPr>
          <w:b/>
        </w:rPr>
        <w:t>printed and submitted</w:t>
      </w:r>
      <w:r w:rsidR="00C664F1">
        <w:t xml:space="preserve"> with the application packet.</w:t>
      </w:r>
    </w:p>
    <w:p w:rsidR="00BF3705" w:rsidRPr="00BF3705" w:rsidRDefault="00BF3705" w:rsidP="00C664F1">
      <w:pPr>
        <w:pStyle w:val="Default"/>
        <w:ind w:left="-540" w:right="-720"/>
        <w:jc w:val="both"/>
        <w:rPr>
          <w:bCs/>
        </w:rPr>
      </w:pPr>
    </w:p>
    <w:p w:rsidR="00BF3705" w:rsidRDefault="00BF3705" w:rsidP="00C664F1">
      <w:pPr>
        <w:pStyle w:val="Default"/>
        <w:ind w:left="-540" w:right="-720"/>
        <w:jc w:val="both"/>
        <w:rPr>
          <w:b/>
          <w:bCs/>
        </w:rPr>
      </w:pPr>
    </w:p>
    <w:p w:rsidR="00BF3705" w:rsidRDefault="00BF3705" w:rsidP="00C664F1">
      <w:pPr>
        <w:pStyle w:val="Default"/>
        <w:ind w:left="-540" w:right="-720"/>
        <w:rPr>
          <w:b/>
          <w:bCs/>
        </w:rPr>
      </w:pPr>
      <w:r>
        <w:rPr>
          <w:b/>
          <w:bCs/>
        </w:rPr>
        <w:t>INITIAL LICENSE APPLICATION FEE</w:t>
      </w:r>
    </w:p>
    <w:p w:rsidR="00BF3705" w:rsidRPr="00AD2368" w:rsidRDefault="00BF3705" w:rsidP="00C664F1">
      <w:pPr>
        <w:pStyle w:val="Default"/>
        <w:ind w:left="-540" w:right="-720"/>
        <w:rPr>
          <w:bCs/>
        </w:rPr>
      </w:pPr>
      <w:r w:rsidRPr="00AD2368">
        <w:rPr>
          <w:bCs/>
        </w:rPr>
        <w:t>In-state: $100</w:t>
      </w:r>
    </w:p>
    <w:p w:rsidR="00BF3705" w:rsidRPr="00AD2368" w:rsidRDefault="00BF3705" w:rsidP="00C664F1">
      <w:pPr>
        <w:pStyle w:val="Default"/>
        <w:ind w:left="-540" w:right="-720"/>
        <w:rPr>
          <w:bCs/>
        </w:rPr>
      </w:pPr>
      <w:r w:rsidRPr="00AD2368">
        <w:rPr>
          <w:bCs/>
        </w:rPr>
        <w:t xml:space="preserve">Out-of-state: $150 </w:t>
      </w:r>
    </w:p>
    <w:p w:rsidR="00BF3705" w:rsidRDefault="00BF3705" w:rsidP="00C664F1">
      <w:pPr>
        <w:pStyle w:val="Default"/>
        <w:ind w:left="-540" w:right="-720"/>
        <w:rPr>
          <w:b/>
          <w:bCs/>
        </w:rPr>
      </w:pPr>
    </w:p>
    <w:p w:rsidR="00BF3705" w:rsidRDefault="00BF3705" w:rsidP="00C664F1">
      <w:pPr>
        <w:pStyle w:val="Default"/>
        <w:ind w:left="-540" w:right="-720"/>
        <w:rPr>
          <w:b/>
          <w:bCs/>
        </w:rPr>
      </w:pPr>
      <w:r>
        <w:rPr>
          <w:b/>
          <w:bCs/>
        </w:rPr>
        <w:t>SUPERINTENDENT LICENSE APPLICATION FEE</w:t>
      </w:r>
    </w:p>
    <w:p w:rsidR="00BF3705" w:rsidRPr="00AD2368" w:rsidRDefault="00BF3705" w:rsidP="00C664F1">
      <w:pPr>
        <w:pStyle w:val="Default"/>
        <w:ind w:left="-540" w:right="-720"/>
        <w:rPr>
          <w:bCs/>
        </w:rPr>
      </w:pPr>
      <w:r w:rsidRPr="00AD2368">
        <w:rPr>
          <w:bCs/>
        </w:rPr>
        <w:t xml:space="preserve">In-state: $200 </w:t>
      </w:r>
    </w:p>
    <w:p w:rsidR="00BF3705" w:rsidRPr="00AD2368" w:rsidRDefault="00BF3705" w:rsidP="00C664F1">
      <w:pPr>
        <w:pStyle w:val="Default"/>
        <w:ind w:left="-540" w:right="-720"/>
        <w:rPr>
          <w:bCs/>
        </w:rPr>
      </w:pPr>
      <w:r w:rsidRPr="00AD2368">
        <w:rPr>
          <w:bCs/>
        </w:rPr>
        <w:t xml:space="preserve">Out-of-state: $300 </w:t>
      </w:r>
    </w:p>
    <w:p w:rsidR="00BF3705" w:rsidRDefault="00BF3705" w:rsidP="00C664F1">
      <w:pPr>
        <w:pStyle w:val="Default"/>
        <w:ind w:left="-540" w:right="-720"/>
        <w:rPr>
          <w:b/>
          <w:bCs/>
        </w:rPr>
      </w:pPr>
    </w:p>
    <w:p w:rsidR="00BF3705" w:rsidRDefault="00BF3705" w:rsidP="00C664F1">
      <w:pPr>
        <w:pStyle w:val="Default"/>
        <w:ind w:left="-540" w:right="-720"/>
        <w:rPr>
          <w:b/>
          <w:bCs/>
        </w:rPr>
      </w:pPr>
      <w:r>
        <w:rPr>
          <w:b/>
          <w:bCs/>
        </w:rPr>
        <w:t xml:space="preserve">LICENSE RENEWAL:  </w:t>
      </w:r>
      <w:r w:rsidRPr="00AD2368">
        <w:rPr>
          <w:bCs/>
        </w:rPr>
        <w:t>$50</w:t>
      </w:r>
      <w:r>
        <w:rPr>
          <w:b/>
          <w:bCs/>
        </w:rPr>
        <w:t xml:space="preserve"> </w:t>
      </w:r>
    </w:p>
    <w:p w:rsidR="001D3E57" w:rsidRPr="00C664F1" w:rsidRDefault="001D3E57" w:rsidP="00C664F1">
      <w:pPr>
        <w:pStyle w:val="Default"/>
        <w:ind w:right="-720"/>
        <w:rPr>
          <w:bCs/>
          <w:i/>
          <w:sz w:val="22"/>
          <w:szCs w:val="22"/>
        </w:rPr>
      </w:pPr>
      <w:r w:rsidRPr="00C664F1">
        <w:rPr>
          <w:bCs/>
          <w:i/>
          <w:sz w:val="22"/>
          <w:szCs w:val="22"/>
        </w:rPr>
        <w:t xml:space="preserve">Renewals </w:t>
      </w:r>
      <w:proofErr w:type="gramStart"/>
      <w:r w:rsidRPr="00C664F1">
        <w:rPr>
          <w:bCs/>
          <w:i/>
          <w:sz w:val="22"/>
          <w:szCs w:val="22"/>
        </w:rPr>
        <w:t>may be submitted</w:t>
      </w:r>
      <w:proofErr w:type="gramEnd"/>
      <w:r w:rsidR="00143719" w:rsidRPr="00C664F1">
        <w:rPr>
          <w:bCs/>
          <w:i/>
          <w:sz w:val="22"/>
          <w:szCs w:val="22"/>
        </w:rPr>
        <w:t xml:space="preserve"> to the Office of Licensure</w:t>
      </w:r>
      <w:r w:rsidRPr="00C664F1">
        <w:rPr>
          <w:bCs/>
          <w:i/>
          <w:sz w:val="22"/>
          <w:szCs w:val="22"/>
        </w:rPr>
        <w:t xml:space="preserve"> any time after January 1 of the year the license expires.</w:t>
      </w:r>
    </w:p>
    <w:p w:rsidR="00BF3705" w:rsidRDefault="00BF3705" w:rsidP="00C664F1">
      <w:pPr>
        <w:pStyle w:val="Default"/>
        <w:ind w:left="-540" w:right="-720"/>
        <w:rPr>
          <w:b/>
          <w:bCs/>
        </w:rPr>
      </w:pPr>
    </w:p>
    <w:p w:rsidR="00BF3705" w:rsidRDefault="00BF3705" w:rsidP="00C664F1">
      <w:pPr>
        <w:pStyle w:val="Default"/>
        <w:ind w:left="-540" w:right="-720"/>
        <w:rPr>
          <w:b/>
          <w:bCs/>
        </w:rPr>
      </w:pPr>
      <w:r>
        <w:rPr>
          <w:b/>
          <w:bCs/>
        </w:rPr>
        <w:t xml:space="preserve">ADD/EVALUATE FOR AN ADDITIONAL ENDORSEMENT:  </w:t>
      </w:r>
      <w:r w:rsidRPr="00AD2368">
        <w:rPr>
          <w:bCs/>
        </w:rPr>
        <w:t>$50</w:t>
      </w:r>
      <w:r>
        <w:rPr>
          <w:b/>
          <w:bCs/>
        </w:rPr>
        <w:t xml:space="preserve"> </w:t>
      </w:r>
    </w:p>
    <w:p w:rsidR="00BF3705" w:rsidRPr="00C664F1" w:rsidRDefault="00BF3705" w:rsidP="00C664F1">
      <w:pPr>
        <w:autoSpaceDE w:val="0"/>
        <w:autoSpaceDN w:val="0"/>
        <w:adjustRightInd w:val="0"/>
        <w:spacing w:after="0" w:line="240" w:lineRule="auto"/>
        <w:ind w:right="-720"/>
        <w:rPr>
          <w:bCs/>
          <w:i/>
          <w:sz w:val="22"/>
        </w:rPr>
      </w:pPr>
      <w:r w:rsidRPr="00C664F1">
        <w:rPr>
          <w:rFonts w:cs="Times New Roman"/>
          <w:bCs/>
          <w:i/>
          <w:color w:val="000000"/>
          <w:sz w:val="22"/>
        </w:rPr>
        <w:t xml:space="preserve">Requests for evaluations </w:t>
      </w:r>
      <w:r w:rsidR="0002317E" w:rsidRPr="00C664F1">
        <w:rPr>
          <w:rFonts w:cs="Times New Roman"/>
          <w:bCs/>
          <w:i/>
          <w:color w:val="000000"/>
          <w:sz w:val="22"/>
        </w:rPr>
        <w:t xml:space="preserve">for additional endorsements </w:t>
      </w:r>
      <w:proofErr w:type="gramStart"/>
      <w:r w:rsidRPr="00C664F1">
        <w:rPr>
          <w:rFonts w:cs="Times New Roman"/>
          <w:bCs/>
          <w:i/>
          <w:color w:val="000000"/>
          <w:sz w:val="22"/>
        </w:rPr>
        <w:t>are conducted</w:t>
      </w:r>
      <w:proofErr w:type="gramEnd"/>
      <w:r w:rsidRPr="00C664F1">
        <w:rPr>
          <w:rFonts w:cs="Times New Roman"/>
          <w:bCs/>
          <w:i/>
          <w:color w:val="000000"/>
          <w:sz w:val="22"/>
        </w:rPr>
        <w:t xml:space="preserve"> at the request of an employing Virginia school division or nonpublic school.  An individual not currently teaching in Virginia may add an additional endorsement if the individual has met the requirements for the additional endorsement sought through a Virginia approved </w:t>
      </w:r>
      <w:r w:rsidRPr="00C664F1">
        <w:rPr>
          <w:bCs/>
          <w:i/>
          <w:sz w:val="22"/>
        </w:rPr>
        <w:t>program or is eligible for an additional endorsement based on reciprocity (completing an approved teacher preparation program in another state or holding the endorsement on a valid out-of-state license</w:t>
      </w:r>
      <w:r w:rsidR="0002317E" w:rsidRPr="00C664F1">
        <w:rPr>
          <w:bCs/>
          <w:i/>
          <w:sz w:val="22"/>
        </w:rPr>
        <w:t xml:space="preserve"> with no deficiencies</w:t>
      </w:r>
      <w:r w:rsidRPr="00C664F1">
        <w:rPr>
          <w:bCs/>
          <w:i/>
          <w:sz w:val="22"/>
        </w:rPr>
        <w:t>). An individual who holds a teaching license may add an additional endorsement to the license by passing a rigorous academic subject test prescribed by the Board of Education. This testing option does not apply to individuals who are seeking an early/primary preK-3 or elementary education preK-6 endorsement or who hold a technical professional license, vocational evaluator license, pupil personnel services license, school manager license, or division superintendent license.</w:t>
      </w:r>
    </w:p>
    <w:p w:rsidR="00BF3705" w:rsidRDefault="00BF3705" w:rsidP="00C664F1">
      <w:pPr>
        <w:pStyle w:val="Default"/>
        <w:ind w:left="-540" w:right="-720"/>
        <w:rPr>
          <w:b/>
          <w:bCs/>
        </w:rPr>
      </w:pPr>
    </w:p>
    <w:p w:rsidR="00BF3705" w:rsidRDefault="00BF3705" w:rsidP="00C664F1">
      <w:pPr>
        <w:pStyle w:val="Default"/>
        <w:ind w:left="-540" w:right="-720"/>
        <w:rPr>
          <w:b/>
          <w:bCs/>
        </w:rPr>
      </w:pPr>
      <w:r>
        <w:rPr>
          <w:b/>
          <w:bCs/>
        </w:rPr>
        <w:t xml:space="preserve">OTHER ACTIONS ON LICENSES:  </w:t>
      </w:r>
      <w:r w:rsidRPr="00AD2368">
        <w:rPr>
          <w:bCs/>
        </w:rPr>
        <w:t>$25</w:t>
      </w:r>
      <w:r>
        <w:rPr>
          <w:b/>
          <w:bCs/>
        </w:rPr>
        <w:t xml:space="preserve"> </w:t>
      </w:r>
      <w:r w:rsidRPr="00AD2368">
        <w:rPr>
          <w:bCs/>
        </w:rPr>
        <w:t>[Add a degree or duplicate/copy a license. Please note that there is no fee for a name change on a license. However, if a name change is the only request, a $25 fee for duplicating the license will be assessed.]</w:t>
      </w:r>
    </w:p>
    <w:p w:rsidR="001D3E57" w:rsidRDefault="001D3E57" w:rsidP="00C664F1">
      <w:pPr>
        <w:spacing w:after="0" w:line="240" w:lineRule="auto"/>
        <w:ind w:left="-540" w:right="-720"/>
      </w:pPr>
    </w:p>
    <w:p w:rsidR="00F91537" w:rsidRPr="00A84F5B" w:rsidRDefault="00BF3705" w:rsidP="00C664F1">
      <w:pPr>
        <w:spacing w:after="0" w:line="240" w:lineRule="auto"/>
        <w:ind w:left="-540" w:right="-720"/>
        <w:rPr>
          <w:i/>
        </w:rPr>
      </w:pPr>
      <w:r w:rsidRPr="00A84F5B">
        <w:rPr>
          <w:i/>
        </w:rPr>
        <w:t>Requests received in the Office of Licensure on and after January 1, 2019, will be subject to this new fee schedule.  Effective January 1, please note that we no longer have the “cap” on fees, so each request listed above will be assessed the fee listed.</w:t>
      </w:r>
    </w:p>
    <w:sectPr w:rsidR="00F91537" w:rsidRPr="00A84F5B" w:rsidSect="001D3E57">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05"/>
    <w:rsid w:val="0002317E"/>
    <w:rsid w:val="00143719"/>
    <w:rsid w:val="001D3E57"/>
    <w:rsid w:val="00601327"/>
    <w:rsid w:val="00A84F5B"/>
    <w:rsid w:val="00AE1F8C"/>
    <w:rsid w:val="00BF3705"/>
    <w:rsid w:val="00C25A69"/>
    <w:rsid w:val="00C664F1"/>
    <w:rsid w:val="00DD7D94"/>
    <w:rsid w:val="00F91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7E6E"/>
  <w15:docId w15:val="{72E84FA4-4A3F-477F-90F0-B8EC6A12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705"/>
    <w:pPr>
      <w:spacing w:after="200" w:line="276" w:lineRule="auto"/>
    </w:pPr>
    <w:rPr>
      <w:rFonts w:cstheme="minorBidi"/>
      <w:sz w:val="24"/>
      <w:szCs w:val="22"/>
    </w:rPr>
  </w:style>
  <w:style w:type="paragraph" w:styleId="Heading1">
    <w:name w:val="heading 1"/>
    <w:basedOn w:val="Normal"/>
    <w:next w:val="Normal"/>
    <w:link w:val="Heading1Char"/>
    <w:uiPriority w:val="9"/>
    <w:qFormat/>
    <w:rsid w:val="00C25A69"/>
    <w:pPr>
      <w:keepNext/>
      <w:keepLines/>
      <w:spacing w:before="480" w:after="0" w:line="240" w:lineRule="auto"/>
      <w:outlineLvl w:val="0"/>
    </w:pPr>
    <w:rPr>
      <w:rFonts w:asciiTheme="majorHAnsi" w:eastAsiaTheme="majorEastAsia" w:hAnsiTheme="majorHAnsi" w:cstheme="majorBidi"/>
      <w:b/>
      <w:bCs/>
      <w:color w:val="1B1E54" w:themeColor="accent1" w:themeShade="BF"/>
      <w:sz w:val="28"/>
      <w:szCs w:val="28"/>
    </w:rPr>
  </w:style>
  <w:style w:type="paragraph" w:styleId="Heading2">
    <w:name w:val="heading 2"/>
    <w:basedOn w:val="Normal"/>
    <w:next w:val="Normal"/>
    <w:link w:val="Heading2Char"/>
    <w:uiPriority w:val="9"/>
    <w:unhideWhenUsed/>
    <w:qFormat/>
    <w:rsid w:val="00C25A69"/>
    <w:pPr>
      <w:keepNext/>
      <w:keepLines/>
      <w:spacing w:before="200" w:after="0" w:line="240" w:lineRule="auto"/>
      <w:outlineLvl w:val="1"/>
    </w:pPr>
    <w:rPr>
      <w:rFonts w:asciiTheme="majorHAnsi" w:eastAsiaTheme="majorEastAsia" w:hAnsiTheme="majorHAnsi" w:cstheme="majorBidi"/>
      <w:b/>
      <w:bCs/>
      <w:color w:val="252971" w:themeColor="accent1"/>
      <w:sz w:val="26"/>
      <w:szCs w:val="26"/>
    </w:rPr>
  </w:style>
  <w:style w:type="paragraph" w:styleId="Heading3">
    <w:name w:val="heading 3"/>
    <w:basedOn w:val="Normal"/>
    <w:next w:val="Normal"/>
    <w:link w:val="Heading3Char"/>
    <w:uiPriority w:val="9"/>
    <w:unhideWhenUsed/>
    <w:qFormat/>
    <w:rsid w:val="00C25A69"/>
    <w:pPr>
      <w:keepNext/>
      <w:keepLines/>
      <w:spacing w:before="200" w:after="0" w:line="240" w:lineRule="auto"/>
      <w:outlineLvl w:val="2"/>
    </w:pPr>
    <w:rPr>
      <w:rFonts w:asciiTheme="majorHAnsi" w:eastAsiaTheme="majorEastAsia" w:hAnsiTheme="majorHAnsi" w:cstheme="majorBidi"/>
      <w:b/>
      <w:bCs/>
      <w:color w:val="252971"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A69"/>
    <w:rPr>
      <w:rFonts w:asciiTheme="majorHAnsi" w:eastAsiaTheme="majorEastAsia" w:hAnsiTheme="majorHAnsi" w:cstheme="majorBidi"/>
      <w:b/>
      <w:bCs/>
      <w:color w:val="1B1E54" w:themeColor="accent1" w:themeShade="BF"/>
      <w:sz w:val="28"/>
      <w:szCs w:val="28"/>
    </w:rPr>
  </w:style>
  <w:style w:type="character" w:customStyle="1" w:styleId="Heading2Char">
    <w:name w:val="Heading 2 Char"/>
    <w:basedOn w:val="DefaultParagraphFont"/>
    <w:link w:val="Heading2"/>
    <w:uiPriority w:val="9"/>
    <w:rsid w:val="00C25A69"/>
    <w:rPr>
      <w:rFonts w:asciiTheme="majorHAnsi" w:eastAsiaTheme="majorEastAsia" w:hAnsiTheme="majorHAnsi" w:cstheme="majorBidi"/>
      <w:b/>
      <w:bCs/>
      <w:color w:val="252971" w:themeColor="accent1"/>
      <w:sz w:val="26"/>
      <w:szCs w:val="26"/>
    </w:rPr>
  </w:style>
  <w:style w:type="character" w:customStyle="1" w:styleId="Heading3Char">
    <w:name w:val="Heading 3 Char"/>
    <w:basedOn w:val="DefaultParagraphFont"/>
    <w:link w:val="Heading3"/>
    <w:uiPriority w:val="9"/>
    <w:rsid w:val="00C25A69"/>
    <w:rPr>
      <w:rFonts w:asciiTheme="majorHAnsi" w:eastAsiaTheme="majorEastAsia" w:hAnsiTheme="majorHAnsi" w:cstheme="majorBidi"/>
      <w:b/>
      <w:bCs/>
      <w:color w:val="252971" w:themeColor="accent1"/>
      <w:sz w:val="22"/>
      <w:szCs w:val="22"/>
    </w:rPr>
  </w:style>
  <w:style w:type="paragraph" w:styleId="TOCHeading">
    <w:name w:val="TOC Heading"/>
    <w:basedOn w:val="Heading1"/>
    <w:next w:val="Normal"/>
    <w:uiPriority w:val="39"/>
    <w:semiHidden/>
    <w:unhideWhenUsed/>
    <w:qFormat/>
    <w:rsid w:val="00C25A69"/>
    <w:pPr>
      <w:spacing w:line="276" w:lineRule="auto"/>
      <w:outlineLvl w:val="9"/>
    </w:pPr>
    <w:rPr>
      <w:lang w:eastAsia="ja-JP"/>
    </w:rPr>
  </w:style>
  <w:style w:type="paragraph" w:customStyle="1" w:styleId="Default">
    <w:name w:val="Default"/>
    <w:basedOn w:val="Normal"/>
    <w:rsid w:val="00BF3705"/>
    <w:pPr>
      <w:autoSpaceDE w:val="0"/>
      <w:autoSpaceDN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rgbClr val="000000"/>
      </a:dk1>
      <a:lt1>
        <a:srgbClr val="FFFFFF"/>
      </a:lt1>
      <a:dk2>
        <a:srgbClr val="660033"/>
      </a:dk2>
      <a:lt2>
        <a:srgbClr val="666699"/>
      </a:lt2>
      <a:accent1>
        <a:srgbClr val="252971"/>
      </a:accent1>
      <a:accent2>
        <a:srgbClr val="F2EC00"/>
      </a:accent2>
      <a:accent3>
        <a:srgbClr val="FFFFFF"/>
      </a:accent3>
      <a:accent4>
        <a:srgbClr val="000000"/>
      </a:accent4>
      <a:accent5>
        <a:srgbClr val="ACACBB"/>
      </a:accent5>
      <a:accent6>
        <a:srgbClr val="FF0000"/>
      </a:accent6>
      <a:hlink>
        <a:srgbClr val="5A84D8"/>
      </a:hlink>
      <a:folHlink>
        <a:srgbClr val="660033"/>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2242</Characters>
  <Application>Microsoft Office Word</Application>
  <DocSecurity>0</DocSecurity>
  <Lines>64</Lines>
  <Paragraphs>25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kch03785</dc:creator>
  <cp:lastModifiedBy>VITA Program</cp:lastModifiedBy>
  <cp:revision>3</cp:revision>
  <dcterms:created xsi:type="dcterms:W3CDTF">2021-09-14T13:53:00Z</dcterms:created>
  <dcterms:modified xsi:type="dcterms:W3CDTF">2021-09-14T13:56:00Z</dcterms:modified>
</cp:coreProperties>
</file>