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5FF2D" w14:textId="77777777" w:rsidR="0092444F" w:rsidRPr="00064B6C" w:rsidRDefault="0092444F" w:rsidP="0027558A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  <w:r w:rsidRPr="00064B6C">
        <w:rPr>
          <w:rFonts w:ascii="Times New Roman" w:eastAsia="Gungsuh" w:hAnsi="Times New Roman" w:cs="Times New Roman"/>
          <w:b/>
          <w:sz w:val="32"/>
          <w:szCs w:val="32"/>
        </w:rPr>
        <w:t>Millbury Public Schools</w:t>
      </w:r>
    </w:p>
    <w:p w14:paraId="222B48AD" w14:textId="77777777" w:rsidR="0092444F" w:rsidRPr="00064B6C" w:rsidRDefault="009C0CC1" w:rsidP="0027558A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  <w:r>
        <w:rPr>
          <w:rFonts w:ascii="Times New Roman" w:eastAsia="Gungsuh" w:hAnsi="Times New Roman" w:cs="Times New Roman"/>
          <w:b/>
          <w:sz w:val="32"/>
          <w:szCs w:val="32"/>
        </w:rPr>
        <w:t>FY 2017</w:t>
      </w:r>
      <w:r w:rsidR="0092444F" w:rsidRPr="00064B6C">
        <w:rPr>
          <w:rFonts w:ascii="Times New Roman" w:eastAsia="Gungsuh" w:hAnsi="Times New Roman" w:cs="Times New Roman"/>
          <w:b/>
          <w:sz w:val="32"/>
          <w:szCs w:val="32"/>
        </w:rPr>
        <w:t xml:space="preserve"> </w:t>
      </w:r>
      <w:r w:rsidR="009C6D5F" w:rsidRPr="00064B6C">
        <w:rPr>
          <w:rFonts w:ascii="Times New Roman" w:eastAsia="Gungsuh" w:hAnsi="Times New Roman" w:cs="Times New Roman"/>
          <w:b/>
          <w:sz w:val="32"/>
          <w:szCs w:val="32"/>
        </w:rPr>
        <w:t>Proposed Budget</w:t>
      </w:r>
    </w:p>
    <w:p w14:paraId="718FDAE7" w14:textId="77777777" w:rsidR="008E0416" w:rsidRPr="00064B6C" w:rsidRDefault="0092444F" w:rsidP="0027558A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  <w:r w:rsidRPr="00064B6C">
        <w:rPr>
          <w:rFonts w:ascii="Times New Roman" w:eastAsia="Gungsuh" w:hAnsi="Times New Roman" w:cs="Times New Roman"/>
          <w:b/>
          <w:sz w:val="32"/>
          <w:szCs w:val="32"/>
        </w:rPr>
        <w:t>Financial Assumptions</w:t>
      </w:r>
    </w:p>
    <w:p w14:paraId="36CDC9C1" w14:textId="77777777" w:rsidR="0092444F" w:rsidRPr="00064B6C" w:rsidRDefault="0027558A">
      <w:pPr>
        <w:rPr>
          <w:rFonts w:ascii="Times New Roman" w:eastAsia="Gungsuh" w:hAnsi="Times New Roman" w:cs="Times New Roman"/>
          <w:b/>
          <w:sz w:val="28"/>
          <w:szCs w:val="28"/>
          <w:u w:val="single"/>
        </w:rPr>
      </w:pPr>
      <w:r w:rsidRPr="00064B6C">
        <w:rPr>
          <w:rFonts w:ascii="Times New Roman" w:eastAsia="Gungsuh" w:hAnsi="Times New Roman" w:cs="Times New Roman"/>
          <w:b/>
          <w:sz w:val="28"/>
          <w:szCs w:val="28"/>
          <w:u w:val="single"/>
        </w:rPr>
        <w:t>Salary Calculations:</w:t>
      </w:r>
    </w:p>
    <w:p w14:paraId="0FC1B214" w14:textId="77777777" w:rsidR="0092444F" w:rsidRPr="00064B6C" w:rsidRDefault="0092444F">
      <w:pPr>
        <w:rPr>
          <w:rFonts w:ascii="Times New Roman" w:eastAsia="Gungsuh" w:hAnsi="Times New Roman" w:cs="Times New Roman"/>
          <w:sz w:val="28"/>
          <w:szCs w:val="28"/>
        </w:rPr>
      </w:pPr>
      <w:r w:rsidRPr="00064B6C">
        <w:rPr>
          <w:rFonts w:ascii="Times New Roman" w:eastAsia="Gungsuh" w:hAnsi="Times New Roman" w:cs="Times New Roman"/>
          <w:sz w:val="28"/>
          <w:szCs w:val="28"/>
        </w:rPr>
        <w:t>Millbury Public Schools has two collective bargaining agreements</w:t>
      </w:r>
      <w:r w:rsidR="00932659" w:rsidRPr="00064B6C">
        <w:rPr>
          <w:rFonts w:ascii="Times New Roman" w:eastAsia="Gungsuh" w:hAnsi="Times New Roman" w:cs="Times New Roman"/>
          <w:sz w:val="28"/>
          <w:szCs w:val="28"/>
        </w:rPr>
        <w:t>.</w:t>
      </w:r>
    </w:p>
    <w:p w14:paraId="14D96F40" w14:textId="77777777" w:rsidR="0092444F" w:rsidRPr="00064B6C" w:rsidRDefault="004F416B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E5032B" wp14:editId="1CB76E27">
            <wp:simplePos x="0" y="0"/>
            <wp:positionH relativeFrom="margin">
              <wp:posOffset>38100</wp:posOffset>
            </wp:positionH>
            <wp:positionV relativeFrom="paragraph">
              <wp:posOffset>1256030</wp:posOffset>
            </wp:positionV>
            <wp:extent cx="5867400" cy="2847340"/>
            <wp:effectExtent l="0" t="0" r="0" b="1016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44F" w:rsidRPr="00064B6C">
        <w:rPr>
          <w:rFonts w:ascii="Times New Roman" w:eastAsia="Gungsuh" w:hAnsi="Times New Roman" w:cs="Times New Roman"/>
          <w:sz w:val="28"/>
          <w:szCs w:val="28"/>
        </w:rPr>
        <w:t>The Millbury Teachers</w:t>
      </w:r>
      <w:r w:rsidR="00C50952">
        <w:rPr>
          <w:rFonts w:ascii="Times New Roman" w:eastAsia="Gungsuh" w:hAnsi="Times New Roman" w:cs="Times New Roman"/>
          <w:sz w:val="28"/>
          <w:szCs w:val="28"/>
        </w:rPr>
        <w:t>’</w:t>
      </w:r>
      <w:r w:rsidR="0092444F" w:rsidRPr="00064B6C">
        <w:rPr>
          <w:rFonts w:ascii="Times New Roman" w:eastAsia="Gungsuh" w:hAnsi="Times New Roman" w:cs="Times New Roman"/>
          <w:sz w:val="28"/>
          <w:szCs w:val="28"/>
        </w:rPr>
        <w:t xml:space="preserve"> Association</w:t>
      </w:r>
      <w:r w:rsidR="00C50952">
        <w:rPr>
          <w:rFonts w:ascii="Times New Roman" w:eastAsia="Gungsuh" w:hAnsi="Times New Roman" w:cs="Times New Roman"/>
          <w:sz w:val="28"/>
          <w:szCs w:val="28"/>
        </w:rPr>
        <w:t>’s</w:t>
      </w:r>
      <w:r w:rsidR="0092444F" w:rsidRPr="00064B6C">
        <w:rPr>
          <w:rFonts w:ascii="Times New Roman" w:eastAsia="Gungsuh" w:hAnsi="Times New Roman" w:cs="Times New Roman"/>
          <w:sz w:val="28"/>
          <w:szCs w:val="28"/>
        </w:rPr>
        <w:t xml:space="preserve"> contract</w:t>
      </w:r>
      <w:r w:rsidR="00C50952">
        <w:rPr>
          <w:rFonts w:ascii="Times New Roman" w:eastAsia="Gungsuh" w:hAnsi="Times New Roman" w:cs="Times New Roman"/>
          <w:sz w:val="28"/>
          <w:szCs w:val="28"/>
        </w:rPr>
        <w:t>, which includes</w:t>
      </w:r>
      <w:r w:rsidR="0092444F" w:rsidRPr="00064B6C">
        <w:rPr>
          <w:rFonts w:ascii="Times New Roman" w:eastAsia="Gungsuh" w:hAnsi="Times New Roman" w:cs="Times New Roman"/>
          <w:sz w:val="28"/>
          <w:szCs w:val="28"/>
        </w:rPr>
        <w:t xml:space="preserve"> classroom teachers, special education teachers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>, guidance counselors, ps</w:t>
      </w:r>
      <w:r w:rsidR="0092444F" w:rsidRPr="00064B6C">
        <w:rPr>
          <w:rFonts w:ascii="Times New Roman" w:eastAsia="Gungsuh" w:hAnsi="Times New Roman" w:cs="Times New Roman"/>
          <w:sz w:val="28"/>
          <w:szCs w:val="28"/>
        </w:rPr>
        <w:t>ych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ologists, librarians and nurses, </w:t>
      </w:r>
      <w:r w:rsidR="0092444F" w:rsidRPr="00064B6C">
        <w:rPr>
          <w:rFonts w:ascii="Times New Roman" w:eastAsia="Gungsuh" w:hAnsi="Times New Roman" w:cs="Times New Roman"/>
          <w:sz w:val="28"/>
          <w:szCs w:val="28"/>
        </w:rPr>
        <w:t xml:space="preserve">expires on August 30, 2016. 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F61555">
        <w:rPr>
          <w:rFonts w:ascii="Times New Roman" w:eastAsia="Gungsuh" w:hAnsi="Times New Roman" w:cs="Times New Roman"/>
          <w:sz w:val="28"/>
          <w:szCs w:val="28"/>
        </w:rPr>
        <w:t xml:space="preserve">Contract negotiations for FY 2017 will begin in January 2016. 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92444F" w:rsidRPr="00064B6C">
        <w:rPr>
          <w:rFonts w:ascii="Times New Roman" w:eastAsia="Gungsuh" w:hAnsi="Times New Roman" w:cs="Times New Roman"/>
          <w:sz w:val="28"/>
          <w:szCs w:val="28"/>
        </w:rPr>
        <w:t xml:space="preserve">In addition, eligible staff will move one step 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>in their salary schedule column.</w:t>
      </w:r>
      <w:r w:rsidRPr="004F416B">
        <w:rPr>
          <w:noProof/>
        </w:rPr>
        <w:t xml:space="preserve"> </w:t>
      </w:r>
    </w:p>
    <w:p w14:paraId="748DB6C0" w14:textId="77777777" w:rsidR="004F416B" w:rsidRDefault="004F416B">
      <w:pPr>
        <w:rPr>
          <w:rFonts w:ascii="Times New Roman" w:eastAsia="Gungsuh" w:hAnsi="Times New Roman" w:cs="Times New Roman"/>
          <w:sz w:val="28"/>
          <w:szCs w:val="28"/>
        </w:rPr>
      </w:pPr>
    </w:p>
    <w:p w14:paraId="7BA8CF0B" w14:textId="77777777" w:rsidR="0092444F" w:rsidRPr="00064B6C" w:rsidRDefault="00C50952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The Service Employees International Union (SEIU) </w:t>
      </w:r>
      <w:r w:rsidR="0092444F" w:rsidRPr="00064B6C">
        <w:rPr>
          <w:rFonts w:ascii="Times New Roman" w:eastAsia="Gungsuh" w:hAnsi="Times New Roman" w:cs="Times New Roman"/>
          <w:sz w:val="28"/>
          <w:szCs w:val="28"/>
        </w:rPr>
        <w:t>Local 888 contract</w:t>
      </w:r>
      <w:r>
        <w:rPr>
          <w:rFonts w:ascii="Times New Roman" w:eastAsia="Gungsuh" w:hAnsi="Times New Roman" w:cs="Times New Roman"/>
          <w:sz w:val="28"/>
          <w:szCs w:val="28"/>
        </w:rPr>
        <w:t>, which includes custodians, groundskeepers</w:t>
      </w:r>
      <w:r w:rsidR="0092444F" w:rsidRPr="00064B6C">
        <w:rPr>
          <w:rFonts w:ascii="Times New Roman" w:eastAsia="Gungsuh" w:hAnsi="Times New Roman" w:cs="Times New Roman"/>
          <w:sz w:val="28"/>
          <w:szCs w:val="28"/>
        </w:rPr>
        <w:t>, maintenance staff, secretaries, clerks</w:t>
      </w:r>
      <w:r>
        <w:rPr>
          <w:rFonts w:ascii="Times New Roman" w:eastAsia="Gungsuh" w:hAnsi="Times New Roman" w:cs="Times New Roman"/>
          <w:sz w:val="28"/>
          <w:szCs w:val="28"/>
        </w:rPr>
        <w:t xml:space="preserve">, and cafeteria workers, </w:t>
      </w:r>
      <w:r w:rsidR="0092444F" w:rsidRPr="00064B6C">
        <w:rPr>
          <w:rFonts w:ascii="Times New Roman" w:eastAsia="Gungsuh" w:hAnsi="Times New Roman" w:cs="Times New Roman"/>
          <w:sz w:val="28"/>
          <w:szCs w:val="28"/>
        </w:rPr>
        <w:t>expires on June 30, 20</w:t>
      </w:r>
      <w:r>
        <w:rPr>
          <w:rFonts w:ascii="Times New Roman" w:eastAsia="Gungsuh" w:hAnsi="Times New Roman" w:cs="Times New Roman"/>
          <w:sz w:val="28"/>
          <w:szCs w:val="28"/>
        </w:rPr>
        <w:t>17. This</w:t>
      </w:r>
      <w:r w:rsidR="009C0CC1">
        <w:rPr>
          <w:rFonts w:ascii="Times New Roman" w:eastAsia="Gungsuh" w:hAnsi="Times New Roman" w:cs="Times New Roman"/>
          <w:sz w:val="28"/>
          <w:szCs w:val="28"/>
        </w:rPr>
        <w:t xml:space="preserve"> contract calls for a 1</w:t>
      </w:r>
      <w:r w:rsidR="0092444F" w:rsidRPr="00064B6C">
        <w:rPr>
          <w:rFonts w:ascii="Times New Roman" w:eastAsia="Gungsuh" w:hAnsi="Times New Roman" w:cs="Times New Roman"/>
          <w:sz w:val="28"/>
          <w:szCs w:val="28"/>
        </w:rPr>
        <w:t>% cost of living increase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 xml:space="preserve"> for </w:t>
      </w:r>
      <w:r w:rsidR="009C0CC1">
        <w:rPr>
          <w:rFonts w:ascii="Times New Roman" w:eastAsia="Gungsuh" w:hAnsi="Times New Roman" w:cs="Times New Roman"/>
          <w:sz w:val="28"/>
          <w:szCs w:val="28"/>
        </w:rPr>
        <w:t>FY 2017</w:t>
      </w:r>
      <w:r w:rsidR="0092444F" w:rsidRPr="00064B6C">
        <w:rPr>
          <w:rFonts w:ascii="Times New Roman" w:eastAsia="Gungsuh" w:hAnsi="Times New Roman" w:cs="Times New Roman"/>
          <w:sz w:val="28"/>
          <w:szCs w:val="28"/>
        </w:rPr>
        <w:t xml:space="preserve">. </w:t>
      </w:r>
      <w:r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92444F" w:rsidRPr="00064B6C">
        <w:rPr>
          <w:rFonts w:ascii="Times New Roman" w:eastAsia="Gungsuh" w:hAnsi="Times New Roman" w:cs="Times New Roman"/>
          <w:sz w:val="28"/>
          <w:szCs w:val="28"/>
        </w:rPr>
        <w:t>There are no step increases.</w:t>
      </w:r>
    </w:p>
    <w:p w14:paraId="161BDD66" w14:textId="77777777" w:rsidR="009C0CC1" w:rsidRDefault="0092444F">
      <w:pPr>
        <w:rPr>
          <w:rFonts w:ascii="Times New Roman" w:eastAsia="Gungsuh" w:hAnsi="Times New Roman" w:cs="Times New Roman"/>
          <w:sz w:val="28"/>
          <w:szCs w:val="28"/>
        </w:rPr>
      </w:pP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All other personnel 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are nonunion and are budgeted for a </w:t>
      </w: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1.5% 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increase.  Personnel with individual contracts have been budgeted for increases as stipulated in their contracts. </w:t>
      </w:r>
      <w:r w:rsidRPr="00064B6C">
        <w:rPr>
          <w:rFonts w:ascii="Times New Roman" w:eastAsia="Gungsuh" w:hAnsi="Times New Roman" w:cs="Times New Roman"/>
          <w:sz w:val="28"/>
          <w:szCs w:val="28"/>
        </w:rPr>
        <w:t>Th</w:t>
      </w:r>
      <w:r w:rsidR="009C0CC1">
        <w:rPr>
          <w:rFonts w:ascii="Times New Roman" w:eastAsia="Gungsuh" w:hAnsi="Times New Roman" w:cs="Times New Roman"/>
          <w:sz w:val="28"/>
          <w:szCs w:val="28"/>
        </w:rPr>
        <w:t>e budget has accounted for six (6) known</w:t>
      </w: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 retirements</w:t>
      </w:r>
      <w:r w:rsidR="009C0CC1">
        <w:rPr>
          <w:rFonts w:ascii="Times New Roman" w:eastAsia="Gungsuh" w:hAnsi="Times New Roman" w:cs="Times New Roman"/>
          <w:sz w:val="28"/>
          <w:szCs w:val="28"/>
        </w:rPr>
        <w:t xml:space="preserve"> and five (5) resignations over the last eighteen months</w:t>
      </w:r>
      <w:r w:rsidRPr="00064B6C">
        <w:rPr>
          <w:rFonts w:ascii="Times New Roman" w:eastAsia="Gungsuh" w:hAnsi="Times New Roman" w:cs="Times New Roman"/>
          <w:sz w:val="28"/>
          <w:szCs w:val="28"/>
        </w:rPr>
        <w:t>.</w:t>
      </w:r>
      <w:r w:rsidR="009C0CC1">
        <w:rPr>
          <w:rFonts w:ascii="Times New Roman" w:eastAsia="Gungsuh" w:hAnsi="Times New Roman" w:cs="Times New Roman"/>
          <w:sz w:val="28"/>
          <w:szCs w:val="28"/>
        </w:rPr>
        <w:t xml:space="preserve"> It has also allowed for three (3) full-year leaves of absence to return for FY 2017.</w:t>
      </w:r>
      <w:r w:rsidR="009C0CC1">
        <w:rPr>
          <w:rFonts w:ascii="Times New Roman" w:eastAsia="Gungsuh" w:hAnsi="Times New Roman" w:cs="Times New Roman"/>
          <w:sz w:val="28"/>
          <w:szCs w:val="28"/>
        </w:rPr>
        <w:br w:type="page"/>
      </w:r>
    </w:p>
    <w:p w14:paraId="46094408" w14:textId="77777777" w:rsidR="00927BC9" w:rsidRPr="00064B6C" w:rsidRDefault="00927BC9" w:rsidP="00927BC9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  <w:r w:rsidRPr="00064B6C">
        <w:rPr>
          <w:rFonts w:ascii="Times New Roman" w:eastAsia="Gungsuh" w:hAnsi="Times New Roman" w:cs="Times New Roman"/>
          <w:b/>
          <w:sz w:val="32"/>
          <w:szCs w:val="32"/>
        </w:rPr>
        <w:lastRenderedPageBreak/>
        <w:t>Financial Assumptions (continued)</w:t>
      </w:r>
    </w:p>
    <w:p w14:paraId="6C83C6AA" w14:textId="77777777" w:rsidR="00E85BDA" w:rsidRPr="00064B6C" w:rsidRDefault="00E85BDA">
      <w:pPr>
        <w:rPr>
          <w:rFonts w:ascii="Times New Roman" w:eastAsia="Gungsuh" w:hAnsi="Times New Roman" w:cs="Times New Roman"/>
          <w:sz w:val="28"/>
          <w:szCs w:val="28"/>
        </w:rPr>
      </w:pPr>
      <w:r w:rsidRPr="00064B6C">
        <w:rPr>
          <w:rFonts w:ascii="Times New Roman" w:eastAsia="Gungsuh" w:hAnsi="Times New Roman" w:cs="Times New Roman"/>
          <w:sz w:val="28"/>
          <w:szCs w:val="28"/>
        </w:rPr>
        <w:t>Tuition Reimbursement is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 xml:space="preserve"> allocated to cover the costs</w:t>
      </w: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 per the Millbury Teachers’ Association agreement. A review of the historical data helped determine the budget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>ed</w:t>
      </w: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 amount.</w:t>
      </w:r>
    </w:p>
    <w:p w14:paraId="166946D8" w14:textId="77777777" w:rsidR="0027558A" w:rsidRPr="00064B6C" w:rsidRDefault="0027558A">
      <w:pPr>
        <w:rPr>
          <w:rFonts w:ascii="Times New Roman" w:eastAsia="Gungsuh" w:hAnsi="Times New Roman" w:cs="Times New Roman"/>
          <w:b/>
          <w:sz w:val="28"/>
          <w:szCs w:val="28"/>
          <w:u w:val="single"/>
        </w:rPr>
      </w:pPr>
      <w:r w:rsidRPr="00064B6C">
        <w:rPr>
          <w:rFonts w:ascii="Times New Roman" w:eastAsia="Gungsuh" w:hAnsi="Times New Roman" w:cs="Times New Roman"/>
          <w:b/>
          <w:sz w:val="28"/>
          <w:szCs w:val="28"/>
          <w:u w:val="single"/>
        </w:rPr>
        <w:t>Transportation:</w:t>
      </w:r>
    </w:p>
    <w:p w14:paraId="5FCF9346" w14:textId="77777777" w:rsidR="0092444F" w:rsidRPr="00064B6C" w:rsidRDefault="0092444F">
      <w:pPr>
        <w:rPr>
          <w:rFonts w:ascii="Times New Roman" w:eastAsia="Gungsuh" w:hAnsi="Times New Roman" w:cs="Times New Roman"/>
          <w:sz w:val="28"/>
          <w:szCs w:val="28"/>
        </w:rPr>
      </w:pP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The contract with our primary home to school 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 xml:space="preserve">regular </w:t>
      </w: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bus contractor has a </w:t>
      </w:r>
      <w:r w:rsidR="00B1464B">
        <w:rPr>
          <w:rFonts w:ascii="Times New Roman" w:eastAsia="Gungsuh" w:hAnsi="Times New Roman" w:cs="Times New Roman"/>
          <w:sz w:val="28"/>
          <w:szCs w:val="28"/>
        </w:rPr>
        <w:t>5.1</w:t>
      </w: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% increase for </w:t>
      </w:r>
      <w:r w:rsidR="009C0CC1">
        <w:rPr>
          <w:rFonts w:ascii="Times New Roman" w:eastAsia="Gungsuh" w:hAnsi="Times New Roman" w:cs="Times New Roman"/>
          <w:sz w:val="28"/>
          <w:szCs w:val="28"/>
        </w:rPr>
        <w:t>FY 2017</w:t>
      </w: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. The contract with 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our transportation provider, </w:t>
      </w:r>
      <w:r w:rsidRPr="00064B6C">
        <w:rPr>
          <w:rFonts w:ascii="Times New Roman" w:eastAsia="Gungsuh" w:hAnsi="Times New Roman" w:cs="Times New Roman"/>
          <w:sz w:val="28"/>
          <w:szCs w:val="28"/>
        </w:rPr>
        <w:t>AA Transportation</w:t>
      </w:r>
      <w:r w:rsidR="00C50952">
        <w:rPr>
          <w:rFonts w:ascii="Times New Roman" w:eastAsia="Gungsuh" w:hAnsi="Times New Roman" w:cs="Times New Roman"/>
          <w:sz w:val="28"/>
          <w:szCs w:val="28"/>
        </w:rPr>
        <w:t>,</w:t>
      </w: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 expires June 30, 2017.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 xml:space="preserve"> This contract covers eleven (11) regular buses, two (2) mini-buses, one (1) wheelchair bus and other transportation like field trips and athletic events.</w:t>
      </w:r>
    </w:p>
    <w:p w14:paraId="3951D738" w14:textId="77777777" w:rsidR="00927BC9" w:rsidRDefault="00C50952">
      <w:pPr>
        <w:rPr>
          <w:rFonts w:ascii="Times New Roman" w:eastAsia="Gungsuh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4098670" wp14:editId="3C776056">
            <wp:simplePos x="0" y="0"/>
            <wp:positionH relativeFrom="column">
              <wp:posOffset>2575560</wp:posOffset>
            </wp:positionH>
            <wp:positionV relativeFrom="paragraph">
              <wp:posOffset>1129665</wp:posOffset>
            </wp:positionV>
            <wp:extent cx="3375660" cy="2179320"/>
            <wp:effectExtent l="0" t="0" r="27940" b="3048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C75" w:rsidRPr="00064B6C">
        <w:rPr>
          <w:rFonts w:ascii="Times New Roman" w:eastAsia="Gungsuh" w:hAnsi="Times New Roman" w:cs="Times New Roman"/>
          <w:sz w:val="28"/>
          <w:szCs w:val="28"/>
        </w:rPr>
        <w:t>We have budgeted for a 3% increase in our</w:t>
      </w:r>
      <w:r w:rsidR="0027558A" w:rsidRPr="00064B6C">
        <w:rPr>
          <w:rFonts w:ascii="Times New Roman" w:eastAsia="Gungsuh" w:hAnsi="Times New Roman" w:cs="Times New Roman"/>
          <w:sz w:val="28"/>
          <w:szCs w:val="28"/>
        </w:rPr>
        <w:t xml:space="preserve"> special education </w:t>
      </w:r>
      <w:r w:rsidR="00D34BC1">
        <w:rPr>
          <w:rFonts w:ascii="Times New Roman" w:eastAsia="Gungsuh" w:hAnsi="Times New Roman" w:cs="Times New Roman"/>
          <w:sz w:val="28"/>
          <w:szCs w:val="28"/>
        </w:rPr>
        <w:t xml:space="preserve">and homeless </w:t>
      </w:r>
      <w:r w:rsidR="0027558A" w:rsidRPr="00064B6C">
        <w:rPr>
          <w:rFonts w:ascii="Times New Roman" w:eastAsia="Gungsuh" w:hAnsi="Times New Roman" w:cs="Times New Roman"/>
          <w:sz w:val="28"/>
          <w:szCs w:val="28"/>
        </w:rPr>
        <w:t xml:space="preserve">transportation </w:t>
      </w:r>
      <w:r w:rsidR="00B71C75" w:rsidRPr="00064B6C">
        <w:rPr>
          <w:rFonts w:ascii="Times New Roman" w:eastAsia="Gungsuh" w:hAnsi="Times New Roman" w:cs="Times New Roman"/>
          <w:sz w:val="28"/>
          <w:szCs w:val="28"/>
        </w:rPr>
        <w:t xml:space="preserve">costs through our agreement with the </w:t>
      </w:r>
      <w:proofErr w:type="spellStart"/>
      <w:r w:rsidR="00B71C75" w:rsidRPr="00064B6C">
        <w:rPr>
          <w:rFonts w:ascii="Times New Roman" w:eastAsia="Gungsuh" w:hAnsi="Times New Roman" w:cs="Times New Roman"/>
          <w:sz w:val="28"/>
          <w:szCs w:val="28"/>
        </w:rPr>
        <w:t>Assabet</w:t>
      </w:r>
      <w:proofErr w:type="spellEnd"/>
      <w:r w:rsidR="00B71C75" w:rsidRPr="00064B6C">
        <w:rPr>
          <w:rFonts w:ascii="Times New Roman" w:eastAsia="Gungsuh" w:hAnsi="Times New Roman" w:cs="Times New Roman"/>
          <w:sz w:val="28"/>
          <w:szCs w:val="28"/>
        </w:rPr>
        <w:t xml:space="preserve"> Valley Collaborative </w:t>
      </w:r>
      <w:r>
        <w:rPr>
          <w:rFonts w:ascii="Times New Roman" w:eastAsia="Gungsuh" w:hAnsi="Times New Roman" w:cs="Times New Roman"/>
          <w:sz w:val="28"/>
          <w:szCs w:val="28"/>
        </w:rPr>
        <w:t xml:space="preserve">(AVC) </w:t>
      </w:r>
      <w:r w:rsidR="00B71C75" w:rsidRPr="00064B6C">
        <w:rPr>
          <w:rFonts w:ascii="Times New Roman" w:eastAsia="Gungsuh" w:hAnsi="Times New Roman" w:cs="Times New Roman"/>
          <w:sz w:val="28"/>
          <w:szCs w:val="28"/>
        </w:rPr>
        <w:t xml:space="preserve">and Van Pool. </w:t>
      </w:r>
      <w:r>
        <w:rPr>
          <w:rFonts w:ascii="Times New Roman" w:eastAsia="Gungsuh" w:hAnsi="Times New Roman" w:cs="Times New Roman"/>
          <w:sz w:val="28"/>
          <w:szCs w:val="28"/>
        </w:rPr>
        <w:t>This agreement is</w:t>
      </w:r>
      <w:r w:rsidR="00B71C75" w:rsidRPr="00064B6C">
        <w:rPr>
          <w:rFonts w:ascii="Times New Roman" w:eastAsia="Gungsuh" w:hAnsi="Times New Roman" w:cs="Times New Roman"/>
          <w:sz w:val="28"/>
          <w:szCs w:val="28"/>
        </w:rPr>
        <w:t xml:space="preserve"> currently being negotiated for next year.</w:t>
      </w:r>
      <w:r w:rsidR="00B1464B">
        <w:rPr>
          <w:rFonts w:ascii="Times New Roman" w:eastAsia="Gungsuh" w:hAnsi="Times New Roman" w:cs="Times New Roman"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sz w:val="28"/>
          <w:szCs w:val="28"/>
        </w:rPr>
        <w:t>We also anticipate fewer out-of-</w:t>
      </w:r>
      <w:r w:rsidR="00B1464B">
        <w:rPr>
          <w:rFonts w:ascii="Times New Roman" w:eastAsia="Gungsuh" w:hAnsi="Times New Roman" w:cs="Times New Roman"/>
          <w:sz w:val="28"/>
          <w:szCs w:val="28"/>
        </w:rPr>
        <w:t xml:space="preserve">district </w:t>
      </w:r>
      <w:r>
        <w:rPr>
          <w:rFonts w:ascii="Times New Roman" w:eastAsia="Gungsuh" w:hAnsi="Times New Roman" w:cs="Times New Roman"/>
          <w:sz w:val="28"/>
          <w:szCs w:val="28"/>
        </w:rPr>
        <w:t>transportation routes due to a</w:t>
      </w:r>
      <w:r w:rsidR="00B1464B">
        <w:rPr>
          <w:rFonts w:ascii="Times New Roman" w:eastAsia="Gungsuh" w:hAnsi="Times New Roman" w:cs="Times New Roman"/>
          <w:sz w:val="28"/>
          <w:szCs w:val="28"/>
        </w:rPr>
        <w:t xml:space="preserve"> reduction in </w:t>
      </w:r>
      <w:r>
        <w:rPr>
          <w:rFonts w:ascii="Times New Roman" w:eastAsia="Gungsuh" w:hAnsi="Times New Roman" w:cs="Times New Roman"/>
          <w:sz w:val="28"/>
          <w:szCs w:val="28"/>
        </w:rPr>
        <w:t xml:space="preserve">total </w:t>
      </w:r>
      <w:r w:rsidR="00B1464B">
        <w:rPr>
          <w:rFonts w:ascii="Times New Roman" w:eastAsia="Gungsuh" w:hAnsi="Times New Roman" w:cs="Times New Roman"/>
          <w:sz w:val="28"/>
          <w:szCs w:val="28"/>
        </w:rPr>
        <w:t>placements.</w:t>
      </w:r>
    </w:p>
    <w:p w14:paraId="13BA63AD" w14:textId="77777777" w:rsidR="00B71C75" w:rsidRPr="00064B6C" w:rsidRDefault="00B71C75">
      <w:pPr>
        <w:rPr>
          <w:rFonts w:ascii="Times New Roman" w:eastAsia="Gungsuh" w:hAnsi="Times New Roman" w:cs="Times New Roman"/>
          <w:b/>
          <w:sz w:val="28"/>
          <w:szCs w:val="28"/>
          <w:u w:val="single"/>
        </w:rPr>
      </w:pPr>
      <w:r w:rsidRPr="00064B6C">
        <w:rPr>
          <w:rFonts w:ascii="Times New Roman" w:eastAsia="Gungsuh" w:hAnsi="Times New Roman" w:cs="Times New Roman"/>
          <w:b/>
          <w:sz w:val="28"/>
          <w:szCs w:val="28"/>
          <w:u w:val="single"/>
        </w:rPr>
        <w:t>Special Education Tuitions:</w:t>
      </w:r>
      <w:r w:rsidR="008D0C2C" w:rsidRPr="008D0C2C">
        <w:rPr>
          <w:noProof/>
        </w:rPr>
        <w:t xml:space="preserve"> </w:t>
      </w:r>
    </w:p>
    <w:p w14:paraId="708E9FA3" w14:textId="77777777" w:rsidR="009C6D5F" w:rsidRPr="00064B6C" w:rsidRDefault="00B1464B" w:rsidP="009C6D5F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There are 22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 special e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>ducation tuition plac</w:t>
      </w:r>
      <w:r>
        <w:rPr>
          <w:rFonts w:ascii="Times New Roman" w:eastAsia="Gungsuh" w:hAnsi="Times New Roman" w:cs="Times New Roman"/>
          <w:sz w:val="28"/>
          <w:szCs w:val="28"/>
        </w:rPr>
        <w:t>ements in the budget, down from 26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C50952">
        <w:rPr>
          <w:rFonts w:ascii="Times New Roman" w:eastAsia="Gungsuh" w:hAnsi="Times New Roman" w:cs="Times New Roman"/>
          <w:sz w:val="28"/>
          <w:szCs w:val="28"/>
        </w:rPr>
        <w:t>in FY 2016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 xml:space="preserve">. </w:t>
      </w:r>
      <w:r>
        <w:rPr>
          <w:rFonts w:ascii="Times New Roman" w:eastAsia="Gungsuh" w:hAnsi="Times New Roman" w:cs="Times New Roman"/>
          <w:sz w:val="28"/>
          <w:szCs w:val="28"/>
        </w:rPr>
        <w:t xml:space="preserve">This </w:t>
      </w:r>
      <w:r w:rsidR="00C50952">
        <w:rPr>
          <w:rFonts w:ascii="Times New Roman" w:eastAsia="Gungsuh" w:hAnsi="Times New Roman" w:cs="Times New Roman"/>
          <w:sz w:val="28"/>
          <w:szCs w:val="28"/>
        </w:rPr>
        <w:t>decrease is the result of</w:t>
      </w:r>
      <w:r>
        <w:rPr>
          <w:rFonts w:ascii="Times New Roman" w:eastAsia="Gungsuh" w:hAnsi="Times New Roman" w:cs="Times New Roman"/>
          <w:sz w:val="28"/>
          <w:szCs w:val="28"/>
        </w:rPr>
        <w:t xml:space="preserve"> two students aging out 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of the formal programs and services provided by the District </w:t>
      </w:r>
      <w:r>
        <w:rPr>
          <w:rFonts w:ascii="Times New Roman" w:eastAsia="Gungsuh" w:hAnsi="Times New Roman" w:cs="Times New Roman"/>
          <w:sz w:val="28"/>
          <w:szCs w:val="28"/>
        </w:rPr>
        <w:t xml:space="preserve">and two students moving out of Millbury. 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 xml:space="preserve">The </w:t>
      </w:r>
      <w:r w:rsidR="00C50952">
        <w:rPr>
          <w:rFonts w:ascii="Times New Roman" w:eastAsia="Gungsuh" w:hAnsi="Times New Roman" w:cs="Times New Roman"/>
          <w:sz w:val="28"/>
          <w:szCs w:val="28"/>
        </w:rPr>
        <w:t>Commonwealth’s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 xml:space="preserve"> Circuit Breaker Reimbursement Program funds </w:t>
      </w:r>
      <w:r w:rsidR="008732D9" w:rsidRPr="008732D9">
        <w:rPr>
          <w:rFonts w:ascii="Times New Roman" w:eastAsia="Gungsuh" w:hAnsi="Times New Roman" w:cs="Times New Roman"/>
          <w:sz w:val="28"/>
          <w:szCs w:val="28"/>
        </w:rPr>
        <w:t>$308,026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 of the special e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>ducation tuitions costs.</w:t>
      </w:r>
    </w:p>
    <w:p w14:paraId="2A8F2E78" w14:textId="77777777" w:rsidR="00E5452F" w:rsidRPr="00C50952" w:rsidRDefault="00A109E2">
      <w:pPr>
        <w:rPr>
          <w:rFonts w:ascii="Times New Roman" w:eastAsia="Gungsuh" w:hAnsi="Times New Roman" w:cs="Times New Roman"/>
          <w:sz w:val="28"/>
          <w:szCs w:val="28"/>
        </w:rPr>
      </w:pPr>
      <w:r w:rsidRPr="00064B6C">
        <w:rPr>
          <w:rFonts w:ascii="Times New Roman" w:eastAsia="Gungsuh" w:hAnsi="Times New Roman" w:cs="Times New Roman"/>
          <w:sz w:val="28"/>
          <w:szCs w:val="28"/>
        </w:rPr>
        <w:t>The budget has accounted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 for a 3% expected increase in special education tuitions.</w:t>
      </w: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C50952">
        <w:rPr>
          <w:rFonts w:ascii="Times New Roman" w:eastAsia="Gungsuh" w:hAnsi="Times New Roman" w:cs="Times New Roman"/>
          <w:sz w:val="28"/>
          <w:szCs w:val="28"/>
        </w:rPr>
        <w:t>P</w:t>
      </w:r>
      <w:r w:rsidR="00D34BC1">
        <w:rPr>
          <w:rFonts w:ascii="Times New Roman" w:eastAsia="Gungsuh" w:hAnsi="Times New Roman" w:cs="Times New Roman"/>
          <w:sz w:val="28"/>
          <w:szCs w:val="28"/>
        </w:rPr>
        <w:t>rivate day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 school</w:t>
      </w:r>
      <w:r w:rsidR="00D34BC1">
        <w:rPr>
          <w:rFonts w:ascii="Times New Roman" w:eastAsia="Gungsuh" w:hAnsi="Times New Roman" w:cs="Times New Roman"/>
          <w:sz w:val="28"/>
          <w:szCs w:val="28"/>
        </w:rPr>
        <w:t xml:space="preserve"> and residential school pricing 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in Massachusetts </w:t>
      </w:r>
      <w:r w:rsidR="00D34BC1">
        <w:rPr>
          <w:rFonts w:ascii="Times New Roman" w:eastAsia="Gungsuh" w:hAnsi="Times New Roman" w:cs="Times New Roman"/>
          <w:sz w:val="28"/>
          <w:szCs w:val="28"/>
        </w:rPr>
        <w:t xml:space="preserve">is regulated by the </w:t>
      </w:r>
      <w:r w:rsidR="00C50952">
        <w:rPr>
          <w:rFonts w:ascii="Times New Roman" w:eastAsia="Gungsuh" w:hAnsi="Times New Roman" w:cs="Times New Roman"/>
          <w:sz w:val="28"/>
          <w:szCs w:val="28"/>
        </w:rPr>
        <w:t>Commonwealth</w:t>
      </w:r>
      <w:r w:rsidR="00D34BC1">
        <w:rPr>
          <w:rFonts w:ascii="Times New Roman" w:eastAsia="Gungsuh" w:hAnsi="Times New Roman" w:cs="Times New Roman"/>
          <w:sz w:val="28"/>
          <w:szCs w:val="28"/>
        </w:rPr>
        <w:t>. Collaborative tuition pricing is set by the Collaborative Board</w:t>
      </w:r>
      <w:r w:rsidR="00C50952">
        <w:rPr>
          <w:rFonts w:ascii="Times New Roman" w:eastAsia="Gungsuh" w:hAnsi="Times New Roman" w:cs="Times New Roman"/>
          <w:sz w:val="28"/>
          <w:szCs w:val="28"/>
        </w:rPr>
        <w:t>s</w:t>
      </w:r>
      <w:r w:rsidR="00D34BC1">
        <w:rPr>
          <w:rFonts w:ascii="Times New Roman" w:eastAsia="Gungsuh" w:hAnsi="Times New Roman" w:cs="Times New Roman"/>
          <w:sz w:val="28"/>
          <w:szCs w:val="28"/>
        </w:rPr>
        <w:t>.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E85BDA" w:rsidRPr="00064B6C">
        <w:rPr>
          <w:rFonts w:ascii="Times New Roman" w:eastAsia="Gungsuh" w:hAnsi="Times New Roman" w:cs="Times New Roman"/>
          <w:sz w:val="28"/>
          <w:szCs w:val="28"/>
        </w:rPr>
        <w:t xml:space="preserve">The Millbury Public Schools 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>maintains</w:t>
      </w:r>
      <w:r w:rsidR="00E85BDA" w:rsidRPr="00064B6C">
        <w:rPr>
          <w:rFonts w:ascii="Times New Roman" w:eastAsia="Gungsuh" w:hAnsi="Times New Roman" w:cs="Times New Roman"/>
          <w:sz w:val="28"/>
          <w:szCs w:val="28"/>
        </w:rPr>
        <w:t xml:space="preserve"> membership in the </w:t>
      </w:r>
      <w:proofErr w:type="spellStart"/>
      <w:r w:rsidR="00E85BDA" w:rsidRPr="00064B6C">
        <w:rPr>
          <w:rFonts w:ascii="Times New Roman" w:eastAsia="Gungsuh" w:hAnsi="Times New Roman" w:cs="Times New Roman"/>
          <w:sz w:val="28"/>
          <w:szCs w:val="28"/>
        </w:rPr>
        <w:t>Assabet</w:t>
      </w:r>
      <w:proofErr w:type="spellEnd"/>
      <w:r w:rsidR="00E85BDA" w:rsidRPr="00064B6C">
        <w:rPr>
          <w:rFonts w:ascii="Times New Roman" w:eastAsia="Gungsuh" w:hAnsi="Times New Roman" w:cs="Times New Roman"/>
          <w:sz w:val="28"/>
          <w:szCs w:val="28"/>
        </w:rPr>
        <w:t xml:space="preserve"> Valley Collaborative and the Southern Worcester County Education Collaborative. In both cases, there is a member discount for tuitions.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E5452F">
        <w:rPr>
          <w:rFonts w:ascii="Times New Roman" w:eastAsia="Gungsuh" w:hAnsi="Times New Roman" w:cs="Times New Roman"/>
          <w:sz w:val="28"/>
          <w:szCs w:val="28"/>
        </w:rPr>
        <w:t>Due to a reduction of special education placements, Millbury has redu</w:t>
      </w:r>
      <w:r w:rsidR="00C50952">
        <w:rPr>
          <w:rFonts w:ascii="Times New Roman" w:eastAsia="Gungsuh" w:hAnsi="Times New Roman" w:cs="Times New Roman"/>
          <w:sz w:val="28"/>
          <w:szCs w:val="28"/>
        </w:rPr>
        <w:t>ced its out-of-</w:t>
      </w:r>
      <w:r w:rsidR="00E5452F">
        <w:rPr>
          <w:rFonts w:ascii="Times New Roman" w:eastAsia="Gungsuh" w:hAnsi="Times New Roman" w:cs="Times New Roman"/>
          <w:sz w:val="28"/>
          <w:szCs w:val="28"/>
        </w:rPr>
        <w:t xml:space="preserve">district tuitions budget by </w:t>
      </w:r>
      <w:r w:rsidR="008732D9" w:rsidRPr="008732D9">
        <w:rPr>
          <w:rFonts w:ascii="Times New Roman" w:eastAsia="Gungsuh" w:hAnsi="Times New Roman" w:cs="Times New Roman"/>
          <w:sz w:val="28"/>
          <w:szCs w:val="28"/>
        </w:rPr>
        <w:t>$152,129</w:t>
      </w:r>
      <w:r w:rsidR="00E5452F" w:rsidRPr="008732D9">
        <w:rPr>
          <w:rFonts w:ascii="Times New Roman" w:eastAsia="Gungsuh" w:hAnsi="Times New Roman" w:cs="Times New Roman"/>
          <w:sz w:val="28"/>
          <w:szCs w:val="28"/>
        </w:rPr>
        <w:t>.</w:t>
      </w:r>
      <w:r w:rsidR="00E5452F">
        <w:rPr>
          <w:rFonts w:ascii="Times New Roman" w:eastAsia="Gungsuh" w:hAnsi="Times New Roman" w:cs="Times New Roman"/>
          <w:sz w:val="28"/>
          <w:szCs w:val="28"/>
          <w:highlight w:val="yellow"/>
        </w:rPr>
        <w:br w:type="page"/>
      </w:r>
    </w:p>
    <w:p w14:paraId="51F68DFB" w14:textId="77777777" w:rsidR="00927BC9" w:rsidRPr="00064B6C" w:rsidRDefault="00927BC9" w:rsidP="00927BC9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  <w:r w:rsidRPr="00064B6C">
        <w:rPr>
          <w:rFonts w:ascii="Times New Roman" w:eastAsia="Gungsuh" w:hAnsi="Times New Roman" w:cs="Times New Roman"/>
          <w:b/>
          <w:sz w:val="32"/>
          <w:szCs w:val="32"/>
        </w:rPr>
        <w:lastRenderedPageBreak/>
        <w:t>Financial Assumptions (continued)</w:t>
      </w:r>
    </w:p>
    <w:p w14:paraId="7AB1AE99" w14:textId="77777777" w:rsidR="00B71C75" w:rsidRPr="00064B6C" w:rsidRDefault="00B71C75">
      <w:pPr>
        <w:rPr>
          <w:rFonts w:ascii="Times New Roman" w:eastAsia="Gungsuh" w:hAnsi="Times New Roman" w:cs="Times New Roman"/>
          <w:b/>
          <w:sz w:val="28"/>
          <w:szCs w:val="28"/>
          <w:u w:val="single"/>
        </w:rPr>
      </w:pPr>
      <w:r w:rsidRPr="00064B6C">
        <w:rPr>
          <w:rFonts w:ascii="Times New Roman" w:eastAsia="Gungsuh" w:hAnsi="Times New Roman" w:cs="Times New Roman"/>
          <w:b/>
          <w:sz w:val="28"/>
          <w:szCs w:val="28"/>
          <w:u w:val="single"/>
        </w:rPr>
        <w:t>Utilities:</w:t>
      </w:r>
    </w:p>
    <w:p w14:paraId="0D840A50" w14:textId="77777777" w:rsidR="00A109E2" w:rsidRPr="00064B6C" w:rsidRDefault="00324BBD">
      <w:pPr>
        <w:rPr>
          <w:rFonts w:ascii="Times New Roman" w:eastAsia="Gungsuh" w:hAnsi="Times New Roman" w:cs="Times New Roman"/>
          <w:sz w:val="28"/>
          <w:szCs w:val="28"/>
        </w:rPr>
      </w:pPr>
      <w:r w:rsidRPr="00064B6C">
        <w:rPr>
          <w:rFonts w:ascii="Times New Roman" w:eastAsia="Gungsuh" w:hAnsi="Times New Roman" w:cs="Times New Roman"/>
          <w:sz w:val="28"/>
          <w:szCs w:val="28"/>
        </w:rPr>
        <w:t>There are five</w:t>
      </w:r>
      <w:r w:rsidR="00A109E2" w:rsidRPr="00064B6C">
        <w:rPr>
          <w:rFonts w:ascii="Times New Roman" w:eastAsia="Gungsuh" w:hAnsi="Times New Roman" w:cs="Times New Roman"/>
          <w:sz w:val="28"/>
          <w:szCs w:val="28"/>
        </w:rPr>
        <w:t xml:space="preserve"> factor</w:t>
      </w:r>
      <w:r w:rsidR="00B71C75" w:rsidRPr="00064B6C">
        <w:rPr>
          <w:rFonts w:ascii="Times New Roman" w:eastAsia="Gungsuh" w:hAnsi="Times New Roman" w:cs="Times New Roman"/>
          <w:sz w:val="28"/>
          <w:szCs w:val="28"/>
        </w:rPr>
        <w:t xml:space="preserve">s used to determine utility </w:t>
      </w:r>
      <w:r w:rsidR="00A109E2" w:rsidRPr="00064B6C">
        <w:rPr>
          <w:rFonts w:ascii="Times New Roman" w:eastAsia="Gungsuh" w:hAnsi="Times New Roman" w:cs="Times New Roman"/>
          <w:sz w:val="28"/>
          <w:szCs w:val="28"/>
        </w:rPr>
        <w:t>costs:</w:t>
      </w:r>
    </w:p>
    <w:p w14:paraId="1D8C53BD" w14:textId="77777777" w:rsidR="00A109E2" w:rsidRPr="00064B6C" w:rsidRDefault="001C0933" w:rsidP="00A109E2">
      <w:pPr>
        <w:pStyle w:val="ListParagraph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AB7A16D" wp14:editId="01B8B8CE">
            <wp:simplePos x="0" y="0"/>
            <wp:positionH relativeFrom="column">
              <wp:posOffset>4244340</wp:posOffset>
            </wp:positionH>
            <wp:positionV relativeFrom="paragraph">
              <wp:posOffset>5715</wp:posOffset>
            </wp:positionV>
            <wp:extent cx="1602105" cy="124968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lephone-poles-311495_640[1].pn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BC1">
        <w:rPr>
          <w:rFonts w:ascii="Times New Roman" w:eastAsia="Gungsuh" w:hAnsi="Times New Roman" w:cs="Times New Roman"/>
          <w:sz w:val="28"/>
          <w:szCs w:val="28"/>
        </w:rPr>
        <w:t>Estimate of u</w:t>
      </w:r>
      <w:r w:rsidR="00A109E2" w:rsidRPr="00064B6C">
        <w:rPr>
          <w:rFonts w:ascii="Times New Roman" w:eastAsia="Gungsuh" w:hAnsi="Times New Roman" w:cs="Times New Roman"/>
          <w:sz w:val="28"/>
          <w:szCs w:val="28"/>
        </w:rPr>
        <w:t>sage based upon past history</w:t>
      </w:r>
      <w:r w:rsidR="00324BBD" w:rsidRPr="00064B6C">
        <w:rPr>
          <w:rFonts w:ascii="Times New Roman" w:eastAsia="Gungsuh" w:hAnsi="Times New Roman" w:cs="Times New Roman"/>
          <w:sz w:val="28"/>
          <w:szCs w:val="28"/>
        </w:rPr>
        <w:t>, climate</w:t>
      </w:r>
      <w:r w:rsidR="00A109E2" w:rsidRPr="00064B6C">
        <w:rPr>
          <w:rFonts w:ascii="Times New Roman" w:eastAsia="Gungsuh" w:hAnsi="Times New Roman" w:cs="Times New Roman"/>
          <w:sz w:val="28"/>
          <w:szCs w:val="28"/>
        </w:rPr>
        <w:t xml:space="preserve"> and trends.</w:t>
      </w:r>
    </w:p>
    <w:p w14:paraId="2B7547BD" w14:textId="77777777" w:rsidR="00A109E2" w:rsidRPr="00064B6C" w:rsidRDefault="007970F6" w:rsidP="00A109E2">
      <w:pPr>
        <w:pStyle w:val="ListParagraph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064B6C">
        <w:rPr>
          <w:rFonts w:ascii="Times New Roman" w:eastAsia="Gungsuh" w:hAnsi="Times New Roman" w:cs="Times New Roman"/>
          <w:sz w:val="28"/>
          <w:szCs w:val="28"/>
        </w:rPr>
        <w:t>Electricity and natural gas supply r</w:t>
      </w:r>
      <w:r w:rsidR="00A109E2" w:rsidRPr="00064B6C">
        <w:rPr>
          <w:rFonts w:ascii="Times New Roman" w:eastAsia="Gungsuh" w:hAnsi="Times New Roman" w:cs="Times New Roman"/>
          <w:sz w:val="28"/>
          <w:szCs w:val="28"/>
        </w:rPr>
        <w:t xml:space="preserve">ates based upon Town of Millbury contracts </w:t>
      </w:r>
      <w:r w:rsidR="001C0933">
        <w:rPr>
          <w:rFonts w:ascii="Times New Roman" w:eastAsia="Gungsuh" w:hAnsi="Times New Roman" w:cs="Times New Roman"/>
          <w:sz w:val="28"/>
          <w:szCs w:val="28"/>
        </w:rPr>
        <w:t>are fixed. The electricity contract expires in January 2017 and the natural gas contract expires in September 2016</w:t>
      </w:r>
      <w:r w:rsidR="00A109E2" w:rsidRPr="00064B6C">
        <w:rPr>
          <w:rFonts w:ascii="Times New Roman" w:eastAsia="Gungsuh" w:hAnsi="Times New Roman" w:cs="Times New Roman"/>
          <w:sz w:val="28"/>
          <w:szCs w:val="28"/>
        </w:rPr>
        <w:t>.</w:t>
      </w:r>
    </w:p>
    <w:p w14:paraId="4D4DDB7A" w14:textId="77777777" w:rsidR="007970F6" w:rsidRPr="00064B6C" w:rsidRDefault="007970F6" w:rsidP="00A109E2">
      <w:pPr>
        <w:pStyle w:val="ListParagraph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No. 2 heating fuel supply rate is estimated for </w:t>
      </w:r>
      <w:r w:rsidR="009C0CC1">
        <w:rPr>
          <w:rFonts w:ascii="Times New Roman" w:eastAsia="Gungsuh" w:hAnsi="Times New Roman" w:cs="Times New Roman"/>
          <w:sz w:val="28"/>
          <w:szCs w:val="28"/>
        </w:rPr>
        <w:t>FY 2017</w:t>
      </w:r>
      <w:r w:rsidRPr="00064B6C">
        <w:rPr>
          <w:rFonts w:ascii="Times New Roman" w:eastAsia="Gungsuh" w:hAnsi="Times New Roman" w:cs="Times New Roman"/>
          <w:sz w:val="28"/>
          <w:szCs w:val="28"/>
        </w:rPr>
        <w:t>. That contract is bid each year through the Town Manager’s office.</w:t>
      </w:r>
      <w:r w:rsidR="00E5452F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1C0933">
        <w:rPr>
          <w:rFonts w:ascii="Times New Roman" w:eastAsia="Gungsuh" w:hAnsi="Times New Roman" w:cs="Times New Roman"/>
          <w:sz w:val="28"/>
          <w:szCs w:val="28"/>
        </w:rPr>
        <w:t>Market r</w:t>
      </w:r>
      <w:r w:rsidR="00E5452F">
        <w:rPr>
          <w:rFonts w:ascii="Times New Roman" w:eastAsia="Gungsuh" w:hAnsi="Times New Roman" w:cs="Times New Roman"/>
          <w:sz w:val="28"/>
          <w:szCs w:val="28"/>
        </w:rPr>
        <w:t>ates are currently at a nine year low.</w:t>
      </w:r>
    </w:p>
    <w:p w14:paraId="3EE9AB8A" w14:textId="77777777" w:rsidR="00A109E2" w:rsidRPr="00064B6C" w:rsidRDefault="00A109E2" w:rsidP="00A109E2">
      <w:pPr>
        <w:pStyle w:val="ListParagraph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064B6C">
        <w:rPr>
          <w:rFonts w:ascii="Times New Roman" w:eastAsia="Gungsuh" w:hAnsi="Times New Roman" w:cs="Times New Roman"/>
          <w:sz w:val="28"/>
          <w:szCs w:val="28"/>
        </w:rPr>
        <w:t>Distribution</w:t>
      </w:r>
      <w:r w:rsidR="00E5452F">
        <w:rPr>
          <w:rFonts w:ascii="Times New Roman" w:eastAsia="Gungsuh" w:hAnsi="Times New Roman" w:cs="Times New Roman"/>
          <w:sz w:val="28"/>
          <w:szCs w:val="28"/>
        </w:rPr>
        <w:t xml:space="preserve"> or Basis</w:t>
      </w: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 Rates which fluctuate and are expected to increase based upon </w:t>
      </w:r>
      <w:r w:rsidR="00D34BC1">
        <w:rPr>
          <w:rFonts w:ascii="Times New Roman" w:eastAsia="Gungsuh" w:hAnsi="Times New Roman" w:cs="Times New Roman"/>
          <w:sz w:val="28"/>
          <w:szCs w:val="28"/>
        </w:rPr>
        <w:t>rates set by</w:t>
      </w: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 from </w:t>
      </w:r>
      <w:proofErr w:type="spellStart"/>
      <w:r w:rsidRPr="00064B6C">
        <w:rPr>
          <w:rFonts w:ascii="Times New Roman" w:eastAsia="Gungsuh" w:hAnsi="Times New Roman" w:cs="Times New Roman"/>
          <w:sz w:val="28"/>
          <w:szCs w:val="28"/>
        </w:rPr>
        <w:t>NGrid</w:t>
      </w:r>
      <w:proofErr w:type="spellEnd"/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 and </w:t>
      </w:r>
      <w:proofErr w:type="spellStart"/>
      <w:r w:rsidRPr="00064B6C">
        <w:rPr>
          <w:rFonts w:ascii="Times New Roman" w:eastAsia="Gungsuh" w:hAnsi="Times New Roman" w:cs="Times New Roman"/>
          <w:sz w:val="28"/>
          <w:szCs w:val="28"/>
        </w:rPr>
        <w:t>NStar</w:t>
      </w:r>
      <w:proofErr w:type="spellEnd"/>
      <w:r w:rsidRPr="00064B6C">
        <w:rPr>
          <w:rFonts w:ascii="Times New Roman" w:eastAsia="Gungsuh" w:hAnsi="Times New Roman" w:cs="Times New Roman"/>
          <w:sz w:val="28"/>
          <w:szCs w:val="28"/>
        </w:rPr>
        <w:t>.</w:t>
      </w:r>
    </w:p>
    <w:p w14:paraId="2566AD45" w14:textId="77777777" w:rsidR="00A109E2" w:rsidRDefault="00A109E2" w:rsidP="00A109E2">
      <w:pPr>
        <w:pStyle w:val="ListParagraph"/>
        <w:numPr>
          <w:ilvl w:val="0"/>
          <w:numId w:val="1"/>
        </w:numPr>
        <w:rPr>
          <w:rFonts w:ascii="Times New Roman" w:eastAsia="Gungsuh" w:hAnsi="Times New Roman" w:cs="Times New Roman"/>
          <w:sz w:val="28"/>
          <w:szCs w:val="28"/>
        </w:rPr>
      </w:pPr>
      <w:r w:rsidRPr="00064B6C">
        <w:rPr>
          <w:rFonts w:ascii="Times New Roman" w:eastAsia="Gungsuh" w:hAnsi="Times New Roman" w:cs="Times New Roman"/>
          <w:sz w:val="28"/>
          <w:szCs w:val="28"/>
        </w:rPr>
        <w:t>Electricity rebates we receive for Solar Credits from agreements with Hanover (which reduces Shaw’s invoice) and First Wind (which reduces</w:t>
      </w:r>
      <w:r w:rsidR="00D34BC1">
        <w:rPr>
          <w:rFonts w:ascii="Times New Roman" w:eastAsia="Gungsuh" w:hAnsi="Times New Roman" w:cs="Times New Roman"/>
          <w:sz w:val="28"/>
          <w:szCs w:val="28"/>
        </w:rPr>
        <w:t xml:space="preserve"> the</w:t>
      </w: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 Elmwood Street School an</w:t>
      </w:r>
      <w:r w:rsidR="00D34BC1">
        <w:rPr>
          <w:rFonts w:ascii="Times New Roman" w:eastAsia="Gungsuh" w:hAnsi="Times New Roman" w:cs="Times New Roman"/>
          <w:sz w:val="28"/>
          <w:szCs w:val="28"/>
        </w:rPr>
        <w:t>d Millbury Jr./Sr. High School</w:t>
      </w: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 invoice)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>.</w:t>
      </w:r>
      <w:r w:rsidRPr="00064B6C">
        <w:rPr>
          <w:rFonts w:ascii="Times New Roman" w:eastAsia="Gungsuh" w:hAnsi="Times New Roman" w:cs="Times New Roman"/>
          <w:sz w:val="28"/>
          <w:szCs w:val="28"/>
        </w:rPr>
        <w:t xml:space="preserve"> The Hanover solar farm is located in Leicester and the First Wind solar farm is located in Millbury. The agreements save us about 30% off our electricity supply cost of 7.</w:t>
      </w:r>
      <w:r w:rsidR="001C0933">
        <w:rPr>
          <w:rFonts w:ascii="Times New Roman" w:eastAsia="Gungsuh" w:hAnsi="Times New Roman" w:cs="Times New Roman"/>
          <w:sz w:val="28"/>
          <w:szCs w:val="28"/>
        </w:rPr>
        <w:t>7</w:t>
      </w:r>
      <w:r w:rsidRPr="00064B6C">
        <w:rPr>
          <w:rFonts w:ascii="Times New Roman" w:eastAsia="Gungsuh" w:hAnsi="Times New Roman" w:cs="Times New Roman"/>
          <w:sz w:val="28"/>
          <w:szCs w:val="28"/>
        </w:rPr>
        <w:t>9 cents</w:t>
      </w:r>
      <w:r w:rsidR="009C6D5F" w:rsidRPr="00064B6C">
        <w:rPr>
          <w:rFonts w:ascii="Times New Roman" w:eastAsia="Gungsuh" w:hAnsi="Times New Roman" w:cs="Times New Roman"/>
          <w:sz w:val="28"/>
          <w:szCs w:val="28"/>
        </w:rPr>
        <w:t xml:space="preserve"> per </w:t>
      </w:r>
      <w:proofErr w:type="gramStart"/>
      <w:r w:rsidR="009C6D5F" w:rsidRPr="00064B6C">
        <w:rPr>
          <w:rFonts w:ascii="Times New Roman" w:eastAsia="Gungsuh" w:hAnsi="Times New Roman" w:cs="Times New Roman"/>
          <w:sz w:val="28"/>
          <w:szCs w:val="28"/>
        </w:rPr>
        <w:t>kwh</w:t>
      </w:r>
      <w:proofErr w:type="gramEnd"/>
      <w:r w:rsidRPr="00064B6C">
        <w:rPr>
          <w:rFonts w:ascii="Times New Roman" w:eastAsia="Gungsuh" w:hAnsi="Times New Roman" w:cs="Times New Roman"/>
          <w:sz w:val="28"/>
          <w:szCs w:val="28"/>
        </w:rPr>
        <w:t>.</w:t>
      </w:r>
    </w:p>
    <w:p w14:paraId="6F11E543" w14:textId="77777777" w:rsidR="00A731B3" w:rsidRDefault="00484923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26966106" wp14:editId="7214E0C5">
            <wp:simplePos x="0" y="0"/>
            <wp:positionH relativeFrom="column">
              <wp:posOffset>558800</wp:posOffset>
            </wp:positionH>
            <wp:positionV relativeFrom="paragraph">
              <wp:posOffset>950595</wp:posOffset>
            </wp:positionV>
            <wp:extent cx="4815840" cy="2363470"/>
            <wp:effectExtent l="177800" t="177800" r="391160" b="37973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2363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C75" w:rsidRPr="00064B6C">
        <w:rPr>
          <w:rFonts w:ascii="Times New Roman" w:eastAsia="Gungsuh" w:hAnsi="Times New Roman" w:cs="Times New Roman"/>
          <w:sz w:val="28"/>
          <w:szCs w:val="28"/>
        </w:rPr>
        <w:t xml:space="preserve">Millbury Jr./Sr. High School and Elmwood Street School is heated and cooled by natural gas. R.E. Shaw </w:t>
      </w:r>
      <w:r w:rsidR="007970F6" w:rsidRPr="00064B6C">
        <w:rPr>
          <w:rFonts w:ascii="Times New Roman" w:eastAsia="Gungsuh" w:hAnsi="Times New Roman" w:cs="Times New Roman"/>
          <w:sz w:val="28"/>
          <w:szCs w:val="28"/>
        </w:rPr>
        <w:t>Elementary School</w:t>
      </w:r>
      <w:r w:rsidR="001C0933">
        <w:rPr>
          <w:rFonts w:ascii="Times New Roman" w:eastAsia="Gungsuh" w:hAnsi="Times New Roman" w:cs="Times New Roman"/>
          <w:sz w:val="28"/>
          <w:szCs w:val="28"/>
        </w:rPr>
        <w:t xml:space="preserve"> and the 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District Central Office </w:t>
      </w:r>
      <w:r w:rsidR="007970F6" w:rsidRPr="00064B6C">
        <w:rPr>
          <w:rFonts w:ascii="Times New Roman" w:eastAsia="Gungsuh" w:hAnsi="Times New Roman" w:cs="Times New Roman"/>
          <w:sz w:val="28"/>
          <w:szCs w:val="28"/>
        </w:rPr>
        <w:t xml:space="preserve">is heated with No. </w:t>
      </w:r>
      <w:r w:rsidR="00B71C75" w:rsidRPr="00064B6C">
        <w:rPr>
          <w:rFonts w:ascii="Times New Roman" w:eastAsia="Gungsuh" w:hAnsi="Times New Roman" w:cs="Times New Roman"/>
          <w:sz w:val="28"/>
          <w:szCs w:val="28"/>
        </w:rPr>
        <w:t>2 heating fuel.</w:t>
      </w:r>
    </w:p>
    <w:p w14:paraId="23E65793" w14:textId="77777777" w:rsidR="00484923" w:rsidRDefault="00484923" w:rsidP="00A731B3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14:paraId="63F4E146" w14:textId="77777777" w:rsidR="005B0CDE" w:rsidRDefault="005B0CDE" w:rsidP="00A731B3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14:paraId="44731EFC" w14:textId="77777777" w:rsidR="005B0CDE" w:rsidRDefault="005B0CDE" w:rsidP="00A731B3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14:paraId="56BA59D9" w14:textId="77777777" w:rsidR="00484923" w:rsidRDefault="00484923" w:rsidP="00A731B3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14:paraId="4615C38E" w14:textId="77777777" w:rsidR="00484923" w:rsidRDefault="00484923" w:rsidP="00A731B3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14:paraId="4BFC03BD" w14:textId="77777777" w:rsidR="00484923" w:rsidRDefault="00484923" w:rsidP="00A731B3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14:paraId="03615D27" w14:textId="4C8541A5" w:rsidR="005B0CDE" w:rsidRDefault="00484923" w:rsidP="005B0CDE">
      <w:pPr>
        <w:rPr>
          <w:rFonts w:ascii="Times New Roman" w:eastAsia="Gungsuh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5FFE240" wp14:editId="64976E51">
                <wp:simplePos x="0" y="0"/>
                <wp:positionH relativeFrom="column">
                  <wp:posOffset>566420</wp:posOffset>
                </wp:positionH>
                <wp:positionV relativeFrom="paragraph">
                  <wp:posOffset>501015</wp:posOffset>
                </wp:positionV>
                <wp:extent cx="4798060" cy="43878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06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D8D7AC" w14:textId="77777777" w:rsidR="00484923" w:rsidRDefault="00484923" w:rsidP="00484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The Millbury School Committee receives a gift of $6,000 from the Athletic Booster Club </w:t>
                            </w:r>
                          </w:p>
                          <w:p w14:paraId="53D68D3E" w14:textId="77777777" w:rsidR="00484923" w:rsidRDefault="00484923" w:rsidP="00484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help fund survey work for the athletic field renovation project.</w:t>
                            </w:r>
                          </w:p>
                          <w:p w14:paraId="092FA1DD" w14:textId="77777777" w:rsidR="005B0CDE" w:rsidRPr="00383FF7" w:rsidRDefault="005B0CDE" w:rsidP="004849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FE24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4.6pt;margin-top:39.45pt;width:377.8pt;height:34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" filled="f" stroked="f">
                <v:textbox>
                  <w:txbxContent>
                    <w:p w14:paraId="02D8D7AC" w14:textId="77777777" w:rsidR="00484923" w:rsidRDefault="00484923" w:rsidP="004849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The Millbury School Committee receives a gift of $6,000 from the Athletic Booster Club </w:t>
                      </w:r>
                    </w:p>
                    <w:p w14:paraId="53D68D3E" w14:textId="77777777" w:rsidR="00484923" w:rsidRDefault="00484923" w:rsidP="004849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help fund survey work for the athletic field renovation project.</w:t>
                      </w:r>
                    </w:p>
                    <w:p w14:paraId="092FA1DD" w14:textId="77777777" w:rsidR="005B0CDE" w:rsidRPr="00383FF7" w:rsidRDefault="005B0CDE" w:rsidP="004849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3F47AE" w14:textId="77777777" w:rsidR="005B0CDE" w:rsidRDefault="005B0CDE" w:rsidP="00A731B3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14:paraId="7C088C58" w14:textId="77777777" w:rsidR="00A731B3" w:rsidRPr="00064B6C" w:rsidRDefault="00A731B3" w:rsidP="00A731B3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  <w:r w:rsidRPr="00064B6C">
        <w:rPr>
          <w:rFonts w:ascii="Times New Roman" w:eastAsia="Gungsuh" w:hAnsi="Times New Roman" w:cs="Times New Roman"/>
          <w:b/>
          <w:sz w:val="32"/>
          <w:szCs w:val="32"/>
        </w:rPr>
        <w:lastRenderedPageBreak/>
        <w:t>Financial Assumptions (continued)</w:t>
      </w:r>
    </w:p>
    <w:p w14:paraId="6EFD0367" w14:textId="77777777" w:rsidR="00484923" w:rsidRDefault="00484923" w:rsidP="00A731B3">
      <w:pPr>
        <w:rPr>
          <w:rFonts w:ascii="Times New Roman" w:eastAsia="Gungsuh" w:hAnsi="Times New Roman" w:cs="Times New Roman"/>
          <w:b/>
          <w:sz w:val="28"/>
          <w:szCs w:val="28"/>
          <w:u w:val="single"/>
        </w:rPr>
      </w:pPr>
    </w:p>
    <w:p w14:paraId="7B7874EF" w14:textId="77777777" w:rsidR="00A731B3" w:rsidRPr="00064B6C" w:rsidRDefault="00A731B3" w:rsidP="00A731B3">
      <w:pPr>
        <w:rPr>
          <w:rFonts w:ascii="Times New Roman" w:eastAsia="Gungsuh" w:hAnsi="Times New Roman" w:cs="Times New Roman"/>
          <w:b/>
          <w:sz w:val="28"/>
          <w:szCs w:val="28"/>
          <w:u w:val="single"/>
        </w:rPr>
      </w:pPr>
      <w:r w:rsidRPr="00064B6C">
        <w:rPr>
          <w:rFonts w:ascii="Times New Roman" w:eastAsia="Gungsuh" w:hAnsi="Times New Roman" w:cs="Times New Roman"/>
          <w:b/>
          <w:sz w:val="28"/>
          <w:szCs w:val="28"/>
          <w:u w:val="single"/>
        </w:rPr>
        <w:t>Utilities</w:t>
      </w:r>
      <w:r w:rsidR="00F4209B">
        <w:rPr>
          <w:rFonts w:ascii="Times New Roman" w:eastAsia="Gungsuh" w:hAnsi="Times New Roman" w:cs="Times New Roman"/>
          <w:b/>
          <w:sz w:val="28"/>
          <w:szCs w:val="28"/>
          <w:u w:val="single"/>
        </w:rPr>
        <w:t xml:space="preserve"> (continued)</w:t>
      </w:r>
      <w:r w:rsidRPr="00064B6C">
        <w:rPr>
          <w:rFonts w:ascii="Times New Roman" w:eastAsia="Gungsuh" w:hAnsi="Times New Roman" w:cs="Times New Roman"/>
          <w:b/>
          <w:sz w:val="28"/>
          <w:szCs w:val="28"/>
          <w:u w:val="single"/>
        </w:rPr>
        <w:t>:</w:t>
      </w:r>
    </w:p>
    <w:p w14:paraId="572AF207" w14:textId="77777777" w:rsidR="00A731B3" w:rsidRDefault="00A731B3" w:rsidP="0027558A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06FF4B1" wp14:editId="020AE6EC">
            <wp:simplePos x="0" y="0"/>
            <wp:positionH relativeFrom="margin">
              <wp:posOffset>0</wp:posOffset>
            </wp:positionH>
            <wp:positionV relativeFrom="paragraph">
              <wp:posOffset>320040</wp:posOffset>
            </wp:positionV>
            <wp:extent cx="1033780" cy="14922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een Communities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3E477" w14:textId="77777777" w:rsidR="001571C8" w:rsidRDefault="001571C8" w:rsidP="0027558A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The Town of Millbury was designated a Commonwealth of Massachusett</w:t>
      </w:r>
      <w:r w:rsidR="00C50952">
        <w:rPr>
          <w:rFonts w:ascii="Times New Roman" w:eastAsia="Gungsuh" w:hAnsi="Times New Roman" w:cs="Times New Roman"/>
          <w:sz w:val="28"/>
          <w:szCs w:val="28"/>
        </w:rPr>
        <w:t>s Green Community in 2011. The T</w:t>
      </w:r>
      <w:r>
        <w:rPr>
          <w:rFonts w:ascii="Times New Roman" w:eastAsia="Gungsuh" w:hAnsi="Times New Roman" w:cs="Times New Roman"/>
          <w:sz w:val="28"/>
          <w:szCs w:val="28"/>
        </w:rPr>
        <w:t xml:space="preserve">own used a benchmark year of 2009 in order to reduce our energy consumption usage by 20% in five years. Through FY 2015 the town has reduced </w:t>
      </w:r>
      <w:r w:rsidR="0015766F">
        <w:rPr>
          <w:rFonts w:ascii="Times New Roman" w:eastAsia="Gungsuh" w:hAnsi="Times New Roman" w:cs="Times New Roman"/>
          <w:sz w:val="28"/>
          <w:szCs w:val="28"/>
        </w:rPr>
        <w:t>its energy consumption by 10</w:t>
      </w:r>
      <w:r>
        <w:rPr>
          <w:rFonts w:ascii="Times New Roman" w:eastAsia="Gungsuh" w:hAnsi="Times New Roman" w:cs="Times New Roman"/>
          <w:sz w:val="28"/>
          <w:szCs w:val="28"/>
        </w:rPr>
        <w:t>%. As you can s</w:t>
      </w:r>
      <w:r w:rsidR="005F70D5">
        <w:rPr>
          <w:rFonts w:ascii="Times New Roman" w:eastAsia="Gungsuh" w:hAnsi="Times New Roman" w:cs="Times New Roman"/>
          <w:sz w:val="28"/>
          <w:szCs w:val="28"/>
        </w:rPr>
        <w:t>ee on the chart</w:t>
      </w:r>
      <w:r w:rsidR="00484923">
        <w:rPr>
          <w:rFonts w:ascii="Times New Roman" w:eastAsia="Gungsuh" w:hAnsi="Times New Roman" w:cs="Times New Roman"/>
          <w:sz w:val="28"/>
          <w:szCs w:val="28"/>
        </w:rPr>
        <w:t xml:space="preserve"> included below</w:t>
      </w:r>
      <w:r>
        <w:rPr>
          <w:rFonts w:ascii="Times New Roman" w:eastAsia="Gungsuh" w:hAnsi="Times New Roman" w:cs="Times New Roman"/>
          <w:sz w:val="28"/>
          <w:szCs w:val="28"/>
        </w:rPr>
        <w:t xml:space="preserve">, the Millbury Public Schools has reduced </w:t>
      </w:r>
      <w:r w:rsidR="0015766F">
        <w:rPr>
          <w:rFonts w:ascii="Times New Roman" w:eastAsia="Gungsuh" w:hAnsi="Times New Roman" w:cs="Times New Roman"/>
          <w:sz w:val="28"/>
          <w:szCs w:val="28"/>
        </w:rPr>
        <w:t>its electric consumption by 19</w:t>
      </w:r>
      <w:r>
        <w:rPr>
          <w:rFonts w:ascii="Times New Roman" w:eastAsia="Gungsuh" w:hAnsi="Times New Roman" w:cs="Times New Roman"/>
          <w:sz w:val="28"/>
          <w:szCs w:val="28"/>
        </w:rPr>
        <w:t>% since 2009 by installing energy conservation measures and making cultural changes</w:t>
      </w:r>
      <w:r w:rsidR="00484923">
        <w:rPr>
          <w:rFonts w:ascii="Times New Roman" w:eastAsia="Gungsuh" w:hAnsi="Times New Roman" w:cs="Times New Roman"/>
          <w:sz w:val="28"/>
          <w:szCs w:val="28"/>
        </w:rPr>
        <w:t xml:space="preserve"> in the way we use our resources</w:t>
      </w:r>
      <w:r>
        <w:rPr>
          <w:rFonts w:ascii="Times New Roman" w:eastAsia="Gungsuh" w:hAnsi="Times New Roman" w:cs="Times New Roman"/>
          <w:sz w:val="28"/>
          <w:szCs w:val="28"/>
        </w:rPr>
        <w:t>.</w:t>
      </w:r>
      <w:r w:rsidR="00484923">
        <w:rPr>
          <w:rFonts w:ascii="Times New Roman" w:eastAsia="Gungsuh" w:hAnsi="Times New Roman" w:cs="Times New Roman"/>
          <w:sz w:val="28"/>
          <w:szCs w:val="28"/>
        </w:rPr>
        <w:t xml:space="preserve"> The District’s e</w:t>
      </w:r>
      <w:r w:rsidR="0015766F">
        <w:rPr>
          <w:rFonts w:ascii="Times New Roman" w:eastAsia="Gungsuh" w:hAnsi="Times New Roman" w:cs="Times New Roman"/>
          <w:sz w:val="28"/>
          <w:szCs w:val="28"/>
        </w:rPr>
        <w:t>nergy consumption is comprised of electricity, natural gas, heating fuel and motor vehicle fuel.</w:t>
      </w:r>
      <w:r w:rsidR="00C50952">
        <w:rPr>
          <w:rFonts w:ascii="Times New Roman" w:eastAsia="Gungsuh" w:hAnsi="Times New Roman" w:cs="Times New Roman"/>
          <w:sz w:val="28"/>
          <w:szCs w:val="28"/>
        </w:rPr>
        <w:t xml:space="preserve"> The T</w:t>
      </w:r>
      <w:r w:rsidR="005F70D5">
        <w:rPr>
          <w:rFonts w:ascii="Times New Roman" w:eastAsia="Gungsuh" w:hAnsi="Times New Roman" w:cs="Times New Roman"/>
          <w:sz w:val="28"/>
          <w:szCs w:val="28"/>
        </w:rPr>
        <w:t>own’s Energy Advisory Committee meets regularly in order to find ways to conserve energy and apply for grant funding.</w:t>
      </w:r>
    </w:p>
    <w:p w14:paraId="35B06E9D" w14:textId="77777777" w:rsidR="00F4209B" w:rsidRDefault="00F4209B" w:rsidP="0027558A">
      <w:pPr>
        <w:rPr>
          <w:rFonts w:ascii="Times New Roman" w:eastAsia="Gungsuh" w:hAnsi="Times New Roman" w:cs="Times New Roman"/>
          <w:sz w:val="28"/>
          <w:szCs w:val="28"/>
        </w:rPr>
      </w:pPr>
    </w:p>
    <w:p w14:paraId="4C905E84" w14:textId="77777777" w:rsidR="00F4209B" w:rsidRDefault="00F4209B" w:rsidP="0027558A">
      <w:pPr>
        <w:rPr>
          <w:rFonts w:ascii="Times New Roman" w:eastAsia="Gungsuh" w:hAnsi="Times New Roman" w:cs="Times New Roman"/>
          <w:sz w:val="28"/>
          <w:szCs w:val="28"/>
        </w:rPr>
      </w:pPr>
    </w:p>
    <w:p w14:paraId="5986D3DB" w14:textId="77777777" w:rsidR="001C6E4C" w:rsidRDefault="001571C8" w:rsidP="001571C8">
      <w:pPr>
        <w:jc w:val="center"/>
        <w:rPr>
          <w:rFonts w:ascii="Times New Roman" w:eastAsia="Gungsuh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7499D2F" wp14:editId="5E200FC8">
            <wp:extent cx="5737860" cy="2994660"/>
            <wp:effectExtent l="0" t="0" r="15240" b="1524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47A5399" w14:textId="77777777" w:rsidR="0015766F" w:rsidRDefault="0015766F" w:rsidP="00655612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</w:p>
    <w:p w14:paraId="03E5E2A9" w14:textId="77777777" w:rsidR="00DE1388" w:rsidRDefault="00DE1388">
      <w:pPr>
        <w:rPr>
          <w:rFonts w:ascii="Times New Roman" w:eastAsia="Gungsuh" w:hAnsi="Times New Roman" w:cs="Times New Roman"/>
          <w:b/>
          <w:sz w:val="32"/>
          <w:szCs w:val="32"/>
        </w:rPr>
      </w:pPr>
      <w:r>
        <w:rPr>
          <w:rFonts w:ascii="Times New Roman" w:eastAsia="Gungsuh" w:hAnsi="Times New Roman" w:cs="Times New Roman"/>
          <w:b/>
          <w:sz w:val="32"/>
          <w:szCs w:val="32"/>
        </w:rPr>
        <w:br w:type="page"/>
      </w:r>
    </w:p>
    <w:p w14:paraId="25352B36" w14:textId="77777777" w:rsidR="00655612" w:rsidRPr="00064B6C" w:rsidRDefault="00655612" w:rsidP="00655612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  <w:r w:rsidRPr="00064B6C">
        <w:rPr>
          <w:rFonts w:ascii="Times New Roman" w:eastAsia="Gungsuh" w:hAnsi="Times New Roman" w:cs="Times New Roman"/>
          <w:b/>
          <w:sz w:val="32"/>
          <w:szCs w:val="32"/>
        </w:rPr>
        <w:lastRenderedPageBreak/>
        <w:t>Financial Assumptions (continued)</w:t>
      </w:r>
    </w:p>
    <w:p w14:paraId="03C78AD7" w14:textId="77777777" w:rsidR="00A109E2" w:rsidRPr="00064B6C" w:rsidRDefault="00A109E2" w:rsidP="0027558A">
      <w:pPr>
        <w:rPr>
          <w:rFonts w:ascii="Times New Roman" w:eastAsia="Gungsuh" w:hAnsi="Times New Roman" w:cs="Times New Roman"/>
          <w:sz w:val="28"/>
          <w:szCs w:val="28"/>
        </w:rPr>
      </w:pPr>
    </w:p>
    <w:p w14:paraId="192613E1" w14:textId="77777777" w:rsidR="00655612" w:rsidRPr="00064B6C" w:rsidRDefault="00655612" w:rsidP="0027558A">
      <w:pPr>
        <w:rPr>
          <w:rFonts w:ascii="Times New Roman" w:eastAsia="Gungsuh" w:hAnsi="Times New Roman" w:cs="Times New Roman"/>
          <w:b/>
          <w:sz w:val="28"/>
          <w:szCs w:val="28"/>
          <w:u w:val="single"/>
        </w:rPr>
      </w:pPr>
      <w:r w:rsidRPr="00064B6C">
        <w:rPr>
          <w:rFonts w:ascii="Times New Roman" w:eastAsia="Gungsuh" w:hAnsi="Times New Roman" w:cs="Times New Roman"/>
          <w:b/>
          <w:sz w:val="28"/>
          <w:szCs w:val="28"/>
          <w:u w:val="single"/>
        </w:rPr>
        <w:t>Other:</w:t>
      </w:r>
    </w:p>
    <w:p w14:paraId="64D553EF" w14:textId="77777777" w:rsidR="00B71C75" w:rsidRDefault="0015766F" w:rsidP="0027558A">
      <w:pPr>
        <w:rPr>
          <w:rFonts w:ascii="Times New Roman" w:eastAsia="Gungsuh" w:hAnsi="Times New Roman" w:cs="Times New Roman"/>
          <w:sz w:val="28"/>
          <w:szCs w:val="28"/>
        </w:rPr>
      </w:pPr>
      <w:r w:rsidRPr="001C0933">
        <w:rPr>
          <w:rFonts w:ascii="Times New Roman" w:eastAsia="Gungsuh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F0A583B" wp14:editId="1AE78A7B">
            <wp:simplePos x="0" y="0"/>
            <wp:positionH relativeFrom="column">
              <wp:posOffset>7620</wp:posOffset>
            </wp:positionH>
            <wp:positionV relativeFrom="paragraph">
              <wp:posOffset>45720</wp:posOffset>
            </wp:positionV>
            <wp:extent cx="1882140" cy="2476500"/>
            <wp:effectExtent l="177800" t="177800" r="378460" b="393700"/>
            <wp:wrapSquare wrapText="bothSides"/>
            <wp:docPr id="7" name="Picture 7" descr="\\hsfiles\COusers$\rbedard\Sue Pierce File Folder\Sue Pierce Files\FY 2017 RECORDS\FY 2017 Budget Presentation\Student Artwork\MHS Dolphin 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hsfiles\COusers$\rbedard\Sue Pierce File Folder\Sue Pierce Files\FY 2017 RECORDS\FY 2017 Budget Presentation\Student Artwork\MHS Dolphin Artwork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E1B" w:rsidRPr="00064B6C">
        <w:rPr>
          <w:rFonts w:ascii="Times New Roman" w:eastAsia="Gungsuh" w:hAnsi="Times New Roman" w:cs="Times New Roman"/>
          <w:sz w:val="28"/>
          <w:szCs w:val="28"/>
        </w:rPr>
        <w:t>Unemployment Compensation is based upon an estimate from previous years’ history. As per the Indirect Cost agreement with the Town of Millbury, we bu</w:t>
      </w:r>
      <w:r w:rsidR="00E85BDA" w:rsidRPr="00064B6C">
        <w:rPr>
          <w:rFonts w:ascii="Times New Roman" w:eastAsia="Gungsuh" w:hAnsi="Times New Roman" w:cs="Times New Roman"/>
          <w:sz w:val="28"/>
          <w:szCs w:val="28"/>
        </w:rPr>
        <w:t>dget for any new unemployment claims.</w:t>
      </w:r>
    </w:p>
    <w:p w14:paraId="6701F6AD" w14:textId="77777777" w:rsidR="008732D9" w:rsidRPr="00064B6C" w:rsidRDefault="00342302" w:rsidP="0027558A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FB84941" wp14:editId="72AA2DA0">
                <wp:simplePos x="0" y="0"/>
                <wp:positionH relativeFrom="page">
                  <wp:posOffset>563880</wp:posOffset>
                </wp:positionH>
                <wp:positionV relativeFrom="paragraph">
                  <wp:posOffset>1447165</wp:posOffset>
                </wp:positionV>
                <wp:extent cx="2613660" cy="56070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10CD508" w14:textId="55FBF9C3" w:rsidR="00342302" w:rsidRDefault="00007B5B" w:rsidP="003423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Julia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Lucier</w:t>
                            </w:r>
                            <w:proofErr w:type="spellEnd"/>
                            <w:r w:rsidR="003423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Grade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14:paraId="44558B91" w14:textId="092B8B5C" w:rsidR="00342302" w:rsidRPr="00383FF7" w:rsidRDefault="00007B5B" w:rsidP="003423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Millbury Jr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Sr.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849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4.4pt;margin-top:113.95pt;width:205.8pt;height:44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" filled="f" stroked="f">
                <v:textbox>
                  <w:txbxContent>
                    <w:p w14:paraId="610CD508" w14:textId="55FBF9C3" w:rsidR="00342302" w:rsidRDefault="00007B5B" w:rsidP="003423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Julia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Lucier</w:t>
                      </w:r>
                      <w:proofErr w:type="spellEnd"/>
                      <w:r w:rsidR="003423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Grade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12</w:t>
                      </w:r>
                    </w:p>
                    <w:p w14:paraId="44558B91" w14:textId="092B8B5C" w:rsidR="00342302" w:rsidRPr="00383FF7" w:rsidRDefault="00007B5B" w:rsidP="003423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Millbury Jr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./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Sr. High School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Gungsuh" w:hAnsi="Times New Roman" w:cs="Times New Roman"/>
          <w:sz w:val="28"/>
          <w:szCs w:val="28"/>
        </w:rPr>
        <w:t>The D</w:t>
      </w:r>
      <w:r w:rsidR="008732D9">
        <w:rPr>
          <w:rFonts w:ascii="Times New Roman" w:eastAsia="Gungsuh" w:hAnsi="Times New Roman" w:cs="Times New Roman"/>
          <w:sz w:val="28"/>
          <w:szCs w:val="28"/>
        </w:rPr>
        <w:t xml:space="preserve">istrict has fully funded </w:t>
      </w:r>
      <w:r>
        <w:rPr>
          <w:rFonts w:ascii="Times New Roman" w:eastAsia="Gungsuh" w:hAnsi="Times New Roman" w:cs="Times New Roman"/>
          <w:sz w:val="28"/>
          <w:szCs w:val="28"/>
        </w:rPr>
        <w:t>its</w:t>
      </w:r>
      <w:r w:rsidR="008732D9">
        <w:rPr>
          <w:rFonts w:ascii="Times New Roman" w:eastAsia="Gungsuh" w:hAnsi="Times New Roman" w:cs="Times New Roman"/>
          <w:sz w:val="28"/>
          <w:szCs w:val="28"/>
        </w:rPr>
        <w:t xml:space="preserve"> kindergarten program. We anticipate the </w:t>
      </w:r>
      <w:r>
        <w:rPr>
          <w:rFonts w:ascii="Times New Roman" w:eastAsia="Gungsuh" w:hAnsi="Times New Roman" w:cs="Times New Roman"/>
          <w:sz w:val="28"/>
          <w:szCs w:val="28"/>
        </w:rPr>
        <w:t>Commonwealth</w:t>
      </w:r>
      <w:r w:rsidR="008732D9">
        <w:rPr>
          <w:rFonts w:ascii="Times New Roman" w:eastAsia="Gungsuh" w:hAnsi="Times New Roman" w:cs="Times New Roman"/>
          <w:sz w:val="28"/>
          <w:szCs w:val="28"/>
        </w:rPr>
        <w:t xml:space="preserve">’s kindergarten grant to be in jeopardy during the </w:t>
      </w:r>
      <w:bookmarkStart w:id="0" w:name="_GoBack"/>
      <w:r w:rsidR="008732D9">
        <w:rPr>
          <w:rFonts w:ascii="Times New Roman" w:eastAsia="Gungsuh" w:hAnsi="Times New Roman" w:cs="Times New Roman"/>
          <w:sz w:val="28"/>
          <w:szCs w:val="28"/>
        </w:rPr>
        <w:t xml:space="preserve">next budget cycle. </w:t>
      </w:r>
      <w:r w:rsidR="0017186B">
        <w:rPr>
          <w:rFonts w:ascii="Times New Roman" w:eastAsia="Gungsuh" w:hAnsi="Times New Roman" w:cs="Times New Roman"/>
          <w:sz w:val="28"/>
          <w:szCs w:val="28"/>
        </w:rPr>
        <w:t xml:space="preserve">Therefore, </w:t>
      </w:r>
      <w:r>
        <w:rPr>
          <w:rFonts w:ascii="Times New Roman" w:eastAsia="Gungsuh" w:hAnsi="Times New Roman" w:cs="Times New Roman"/>
          <w:sz w:val="28"/>
          <w:szCs w:val="28"/>
        </w:rPr>
        <w:t xml:space="preserve">the District’s </w:t>
      </w:r>
      <w:bookmarkEnd w:id="0"/>
      <w:r>
        <w:rPr>
          <w:rFonts w:ascii="Times New Roman" w:eastAsia="Gungsuh" w:hAnsi="Times New Roman" w:cs="Times New Roman"/>
          <w:sz w:val="28"/>
          <w:szCs w:val="28"/>
        </w:rPr>
        <w:t xml:space="preserve">operating budget now assumes full financial responsibility for $47,256 in </w:t>
      </w:r>
      <w:r w:rsidR="0017186B">
        <w:rPr>
          <w:rFonts w:ascii="Times New Roman" w:eastAsia="Gungsuh" w:hAnsi="Times New Roman" w:cs="Times New Roman"/>
          <w:sz w:val="28"/>
          <w:szCs w:val="28"/>
        </w:rPr>
        <w:t>instructional salaries</w:t>
      </w:r>
      <w:r>
        <w:rPr>
          <w:rFonts w:ascii="Times New Roman" w:eastAsia="Gungsuh" w:hAnsi="Times New Roman" w:cs="Times New Roman"/>
          <w:sz w:val="28"/>
          <w:szCs w:val="28"/>
        </w:rPr>
        <w:t xml:space="preserve"> formerly paid by the grant.</w:t>
      </w:r>
    </w:p>
    <w:p w14:paraId="5161388B" w14:textId="77777777" w:rsidR="00E85BDA" w:rsidRPr="00064B6C" w:rsidRDefault="00E5452F" w:rsidP="0027558A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There is </w:t>
      </w:r>
      <w:r w:rsidR="008732D9" w:rsidRPr="008732D9">
        <w:rPr>
          <w:rFonts w:ascii="Times New Roman" w:eastAsia="Gungsuh" w:hAnsi="Times New Roman" w:cs="Times New Roman"/>
          <w:sz w:val="28"/>
          <w:szCs w:val="28"/>
        </w:rPr>
        <w:t>$170,000 budgeted</w:t>
      </w:r>
      <w:r w:rsidR="008732D9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="00F00F4C" w:rsidRPr="00064B6C">
        <w:rPr>
          <w:rFonts w:ascii="Times New Roman" w:eastAsia="Gungsuh" w:hAnsi="Times New Roman" w:cs="Times New Roman"/>
          <w:sz w:val="28"/>
          <w:szCs w:val="28"/>
        </w:rPr>
        <w:t xml:space="preserve">in the </w:t>
      </w:r>
      <w:r w:rsidR="00F00F4C" w:rsidRPr="00342302">
        <w:rPr>
          <w:rFonts w:ascii="Times New Roman" w:eastAsia="Gungsuh" w:hAnsi="Times New Roman" w:cs="Times New Roman"/>
          <w:i/>
          <w:sz w:val="28"/>
          <w:szCs w:val="28"/>
        </w:rPr>
        <w:t xml:space="preserve">Instructional Technology Equipment – </w:t>
      </w:r>
      <w:proofErr w:type="spellStart"/>
      <w:r w:rsidR="00F00F4C" w:rsidRPr="00342302">
        <w:rPr>
          <w:rFonts w:ascii="Times New Roman" w:eastAsia="Gungsuh" w:hAnsi="Times New Roman" w:cs="Times New Roman"/>
          <w:i/>
          <w:sz w:val="28"/>
          <w:szCs w:val="28"/>
        </w:rPr>
        <w:t>Systemwide</w:t>
      </w:r>
      <w:proofErr w:type="spellEnd"/>
      <w:r w:rsidR="00F00F4C" w:rsidRPr="00064B6C">
        <w:rPr>
          <w:rFonts w:ascii="Times New Roman" w:eastAsia="Gungsuh" w:hAnsi="Times New Roman" w:cs="Times New Roman"/>
          <w:sz w:val="28"/>
          <w:szCs w:val="28"/>
        </w:rPr>
        <w:t xml:space="preserve"> line item</w:t>
      </w:r>
      <w:r>
        <w:rPr>
          <w:rFonts w:ascii="Times New Roman" w:eastAsia="Gungsuh" w:hAnsi="Times New Roman" w:cs="Times New Roman"/>
          <w:sz w:val="28"/>
          <w:szCs w:val="28"/>
        </w:rPr>
        <w:t xml:space="preserve">. </w:t>
      </w:r>
      <w:r w:rsidR="001C0933">
        <w:rPr>
          <w:rFonts w:ascii="Times New Roman" w:eastAsia="Gungsuh" w:hAnsi="Times New Roman" w:cs="Times New Roman"/>
          <w:sz w:val="28"/>
          <w:szCs w:val="28"/>
        </w:rPr>
        <w:t xml:space="preserve">This is a budget increase of $30,000. </w:t>
      </w:r>
      <w:r>
        <w:rPr>
          <w:rFonts w:ascii="Times New Roman" w:eastAsia="Gungsuh" w:hAnsi="Times New Roman" w:cs="Times New Roman"/>
          <w:sz w:val="28"/>
          <w:szCs w:val="28"/>
        </w:rPr>
        <w:t xml:space="preserve">We will have </w:t>
      </w:r>
      <w:r w:rsidR="008732D9">
        <w:rPr>
          <w:rFonts w:ascii="Times New Roman" w:eastAsia="Gungsuh" w:hAnsi="Times New Roman" w:cs="Times New Roman"/>
          <w:sz w:val="28"/>
          <w:szCs w:val="28"/>
        </w:rPr>
        <w:t xml:space="preserve">obligations for </w:t>
      </w:r>
      <w:r>
        <w:rPr>
          <w:rFonts w:ascii="Times New Roman" w:eastAsia="Gungsuh" w:hAnsi="Times New Roman" w:cs="Times New Roman"/>
          <w:sz w:val="28"/>
          <w:szCs w:val="28"/>
        </w:rPr>
        <w:t xml:space="preserve">one quarterly payment left to pay on three leases totaling </w:t>
      </w:r>
      <w:r w:rsidR="008732D9" w:rsidRPr="008732D9">
        <w:rPr>
          <w:rFonts w:ascii="Times New Roman" w:eastAsia="Gungsuh" w:hAnsi="Times New Roman" w:cs="Times New Roman"/>
          <w:sz w:val="28"/>
          <w:szCs w:val="28"/>
        </w:rPr>
        <w:t>$9,400</w:t>
      </w:r>
      <w:r w:rsidRPr="008732D9">
        <w:rPr>
          <w:rFonts w:ascii="Times New Roman" w:eastAsia="Gungsuh" w:hAnsi="Times New Roman" w:cs="Times New Roman"/>
          <w:sz w:val="28"/>
          <w:szCs w:val="28"/>
        </w:rPr>
        <w:t>.</w:t>
      </w:r>
      <w:r>
        <w:rPr>
          <w:rFonts w:ascii="Times New Roman" w:eastAsia="Gungsuh" w:hAnsi="Times New Roman" w:cs="Times New Roman"/>
          <w:sz w:val="28"/>
          <w:szCs w:val="28"/>
        </w:rPr>
        <w:t xml:space="preserve"> The balance of this account will be for technology equipment leases or purchases based up</w:t>
      </w:r>
      <w:r w:rsidR="001C0933">
        <w:rPr>
          <w:rFonts w:ascii="Times New Roman" w:eastAsia="Gungsuh" w:hAnsi="Times New Roman" w:cs="Times New Roman"/>
          <w:sz w:val="28"/>
          <w:szCs w:val="28"/>
        </w:rPr>
        <w:t>on our technology capital needs, which includes a telephone system upgrade.</w:t>
      </w:r>
    </w:p>
    <w:p w14:paraId="19C30357" w14:textId="77777777" w:rsidR="00F00F4C" w:rsidRDefault="00342302" w:rsidP="0027558A">
      <w:pPr>
        <w:rPr>
          <w:rFonts w:ascii="Times New Roman" w:eastAsia="Gungsuh" w:hAnsi="Times New Roman" w:cs="Times New Roman"/>
          <w:sz w:val="28"/>
          <w:szCs w:val="28"/>
        </w:rPr>
      </w:pPr>
      <w:r w:rsidRPr="00DE1388">
        <w:rPr>
          <w:rFonts w:ascii="Times New Roman" w:eastAsia="Gungsuh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A1F76A1" wp14:editId="0416E631">
            <wp:simplePos x="0" y="0"/>
            <wp:positionH relativeFrom="margin">
              <wp:posOffset>3152140</wp:posOffset>
            </wp:positionH>
            <wp:positionV relativeFrom="paragraph">
              <wp:posOffset>246380</wp:posOffset>
            </wp:positionV>
            <wp:extent cx="2588260" cy="1934210"/>
            <wp:effectExtent l="177800" t="177800" r="383540" b="377190"/>
            <wp:wrapSquare wrapText="bothSides"/>
            <wp:docPr id="14" name="Picture 14" descr="\\hsfiles\COusers$\rbedard\Sue Pierce File Folder\Sue Pierce Files\FY 2017 RECORDS\FY 2017 Budget Presentation\Student Artwork\IMG_0692 MHS #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hsfiles\COusers$\rbedard\Sue Pierce File Folder\Sue Pierce Files\FY 2017 RECORDS\FY 2017 Budget Presentation\Student Artwork\IMG_0692 MHS #3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934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F4C" w:rsidRPr="00064B6C">
        <w:rPr>
          <w:rFonts w:ascii="Times New Roman" w:eastAsia="Gungsuh" w:hAnsi="Times New Roman" w:cs="Times New Roman"/>
          <w:sz w:val="28"/>
          <w:szCs w:val="28"/>
        </w:rPr>
        <w:t xml:space="preserve">There is </w:t>
      </w:r>
      <w:r w:rsidR="008732D9" w:rsidRPr="008732D9">
        <w:rPr>
          <w:rFonts w:ascii="Times New Roman" w:eastAsia="Gungsuh" w:hAnsi="Times New Roman" w:cs="Times New Roman"/>
          <w:sz w:val="28"/>
          <w:szCs w:val="28"/>
        </w:rPr>
        <w:t>$7,850</w:t>
      </w:r>
      <w:r w:rsidR="00F00F4C" w:rsidRPr="00064B6C">
        <w:rPr>
          <w:rFonts w:ascii="Times New Roman" w:eastAsia="Gungsuh" w:hAnsi="Times New Roman" w:cs="Times New Roman"/>
          <w:sz w:val="28"/>
          <w:szCs w:val="28"/>
        </w:rPr>
        <w:t xml:space="preserve"> allocated in the </w:t>
      </w:r>
      <w:r w:rsidR="00F00F4C" w:rsidRPr="00342302">
        <w:rPr>
          <w:rFonts w:ascii="Times New Roman" w:eastAsia="Gungsuh" w:hAnsi="Times New Roman" w:cs="Times New Roman"/>
          <w:i/>
          <w:sz w:val="28"/>
          <w:szCs w:val="28"/>
        </w:rPr>
        <w:t>Replac</w:t>
      </w:r>
      <w:r w:rsidR="00DB5093" w:rsidRPr="00342302">
        <w:rPr>
          <w:rFonts w:ascii="Times New Roman" w:eastAsia="Gungsuh" w:hAnsi="Times New Roman" w:cs="Times New Roman"/>
          <w:i/>
          <w:sz w:val="28"/>
          <w:szCs w:val="28"/>
        </w:rPr>
        <w:t>e</w:t>
      </w:r>
      <w:r w:rsidR="00F00F4C" w:rsidRPr="00342302">
        <w:rPr>
          <w:rFonts w:ascii="Times New Roman" w:eastAsia="Gungsuh" w:hAnsi="Times New Roman" w:cs="Times New Roman"/>
          <w:i/>
          <w:sz w:val="28"/>
          <w:szCs w:val="28"/>
        </w:rPr>
        <w:t xml:space="preserve">ment </w:t>
      </w:r>
      <w:r w:rsidR="00DB5093" w:rsidRPr="00342302">
        <w:rPr>
          <w:rFonts w:ascii="Times New Roman" w:eastAsia="Gungsuh" w:hAnsi="Times New Roman" w:cs="Times New Roman"/>
          <w:i/>
          <w:sz w:val="28"/>
          <w:szCs w:val="28"/>
        </w:rPr>
        <w:t>of Motor Vehicles</w:t>
      </w:r>
      <w:r w:rsidR="00DB5093" w:rsidRPr="00064B6C">
        <w:rPr>
          <w:rFonts w:ascii="Times New Roman" w:eastAsia="Gungsuh" w:hAnsi="Times New Roman" w:cs="Times New Roman"/>
          <w:sz w:val="28"/>
          <w:szCs w:val="28"/>
        </w:rPr>
        <w:t xml:space="preserve"> line item for </w:t>
      </w:r>
      <w:r w:rsidR="00E5452F">
        <w:rPr>
          <w:rFonts w:ascii="Times New Roman" w:eastAsia="Gungsuh" w:hAnsi="Times New Roman" w:cs="Times New Roman"/>
          <w:sz w:val="28"/>
          <w:szCs w:val="28"/>
        </w:rPr>
        <w:t>the purchase of a new commercial lawn mower for the grounds department. The</w:t>
      </w:r>
      <w:r w:rsidR="00DB5093" w:rsidRPr="00064B6C">
        <w:rPr>
          <w:rFonts w:ascii="Times New Roman" w:eastAsia="Gungsuh" w:hAnsi="Times New Roman" w:cs="Times New Roman"/>
          <w:sz w:val="28"/>
          <w:szCs w:val="28"/>
        </w:rPr>
        <w:t xml:space="preserve"> final lease payment to Ford Motor Credit for one of</w:t>
      </w:r>
      <w:r w:rsidR="00E5452F">
        <w:rPr>
          <w:rFonts w:ascii="Times New Roman" w:eastAsia="Gungsuh" w:hAnsi="Times New Roman" w:cs="Times New Roman"/>
          <w:sz w:val="28"/>
          <w:szCs w:val="28"/>
        </w:rPr>
        <w:t xml:space="preserve"> the red maintenance pick-truck</w:t>
      </w:r>
      <w:r>
        <w:rPr>
          <w:rFonts w:ascii="Times New Roman" w:eastAsia="Gungsuh" w:hAnsi="Times New Roman" w:cs="Times New Roman"/>
          <w:sz w:val="28"/>
          <w:szCs w:val="28"/>
        </w:rPr>
        <w:t>s</w:t>
      </w:r>
      <w:r w:rsidR="00E5452F">
        <w:rPr>
          <w:rFonts w:ascii="Times New Roman" w:eastAsia="Gungsuh" w:hAnsi="Times New Roman" w:cs="Times New Roman"/>
          <w:sz w:val="28"/>
          <w:szCs w:val="28"/>
        </w:rPr>
        <w:t xml:space="preserve"> was made during FY 2016. The district now owns that pick-up truck.</w:t>
      </w:r>
    </w:p>
    <w:p w14:paraId="6963E816" w14:textId="77777777" w:rsidR="001D3514" w:rsidRDefault="00342302" w:rsidP="0027558A">
      <w:pPr>
        <w:rPr>
          <w:rFonts w:ascii="Times New Roman" w:eastAsia="Gungsuh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D89A842" wp14:editId="2508F09A">
                <wp:simplePos x="0" y="0"/>
                <wp:positionH relativeFrom="column">
                  <wp:posOffset>3208020</wp:posOffset>
                </wp:positionH>
                <wp:positionV relativeFrom="paragraph">
                  <wp:posOffset>158750</wp:posOffset>
                </wp:positionV>
                <wp:extent cx="2522220" cy="475615"/>
                <wp:effectExtent l="0" t="0" r="0" b="698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CE75B53" w14:textId="76CAF423" w:rsidR="00342302" w:rsidRDefault="005B0CDE" w:rsidP="003423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Lydsey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Lapi</w:t>
                            </w:r>
                            <w:r w:rsidR="003423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erre</w:t>
                            </w:r>
                            <w:proofErr w:type="spellEnd"/>
                            <w:r w:rsidR="003423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Grade 8</w:t>
                            </w:r>
                          </w:p>
                          <w:p w14:paraId="72A74907" w14:textId="77777777" w:rsidR="00342302" w:rsidRPr="00383FF7" w:rsidRDefault="00342302" w:rsidP="003423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Millbury Jr./Sr.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9A842" id="Text Box 5" o:spid="_x0000_s1028" type="#_x0000_t202" style="position:absolute;margin-left:252.6pt;margin-top:12.5pt;width:198.6pt;height:37.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" filled="f" stroked="f">
                <v:textbox>
                  <w:txbxContent>
                    <w:p w14:paraId="1CE75B53" w14:textId="76CAF423" w:rsidR="00342302" w:rsidRDefault="005B0CDE" w:rsidP="003423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Lydsey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Lapi</w:t>
                      </w:r>
                      <w:r w:rsidR="003423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erre</w:t>
                      </w:r>
                      <w:proofErr w:type="spellEnd"/>
                      <w:r w:rsidR="003423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Grade 8</w:t>
                      </w:r>
                    </w:p>
                    <w:p w14:paraId="72A74907" w14:textId="77777777" w:rsidR="00342302" w:rsidRPr="00383FF7" w:rsidRDefault="00342302" w:rsidP="003423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Millbury Jr./Sr.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2D9">
        <w:rPr>
          <w:rFonts w:ascii="Times New Roman" w:eastAsia="Gungsuh" w:hAnsi="Times New Roman" w:cs="Times New Roman"/>
          <w:sz w:val="28"/>
          <w:szCs w:val="28"/>
        </w:rPr>
        <w:t xml:space="preserve">The </w:t>
      </w:r>
      <w:proofErr w:type="spellStart"/>
      <w:r w:rsidR="008732D9">
        <w:rPr>
          <w:rFonts w:ascii="Times New Roman" w:eastAsia="Gungsuh" w:hAnsi="Times New Roman" w:cs="Times New Roman"/>
          <w:sz w:val="28"/>
          <w:szCs w:val="28"/>
        </w:rPr>
        <w:t>Windle</w:t>
      </w:r>
      <w:proofErr w:type="spellEnd"/>
      <w:r w:rsidR="008732D9">
        <w:rPr>
          <w:rFonts w:ascii="Times New Roman" w:eastAsia="Gungsuh" w:hAnsi="Times New Roman" w:cs="Times New Roman"/>
          <w:sz w:val="28"/>
          <w:szCs w:val="28"/>
        </w:rPr>
        <w:t xml:space="preserve"> Field budget </w:t>
      </w:r>
      <w:r>
        <w:rPr>
          <w:rFonts w:ascii="Times New Roman" w:eastAsia="Gungsuh" w:hAnsi="Times New Roman" w:cs="Times New Roman"/>
          <w:sz w:val="28"/>
          <w:szCs w:val="28"/>
        </w:rPr>
        <w:t>reflects an</w:t>
      </w:r>
      <w:r w:rsidR="008732D9">
        <w:rPr>
          <w:rFonts w:ascii="Times New Roman" w:eastAsia="Gungsuh" w:hAnsi="Times New Roman" w:cs="Times New Roman"/>
          <w:sz w:val="28"/>
          <w:szCs w:val="28"/>
        </w:rPr>
        <w:t xml:space="preserve"> increase of $5,000</w:t>
      </w:r>
      <w:r>
        <w:rPr>
          <w:rFonts w:ascii="Times New Roman" w:eastAsia="Gungsuh" w:hAnsi="Times New Roman" w:cs="Times New Roman"/>
          <w:sz w:val="28"/>
          <w:szCs w:val="28"/>
        </w:rPr>
        <w:t>, which is</w:t>
      </w:r>
      <w:r w:rsidR="008732D9">
        <w:rPr>
          <w:rFonts w:ascii="Times New Roman" w:eastAsia="Gungsuh" w:hAnsi="Times New Roman" w:cs="Times New Roman"/>
          <w:sz w:val="28"/>
          <w:szCs w:val="28"/>
        </w:rPr>
        <w:t xml:space="preserve"> allocated for the purchase of replacement bleachers.</w:t>
      </w:r>
    </w:p>
    <w:p w14:paraId="38CB78C6" w14:textId="77777777" w:rsidR="00F4209B" w:rsidRPr="00DE1388" w:rsidRDefault="00F4209B" w:rsidP="00F4209B">
      <w:pPr>
        <w:jc w:val="center"/>
        <w:rPr>
          <w:rFonts w:ascii="Times New Roman" w:eastAsia="Gungsuh" w:hAnsi="Times New Roman" w:cs="Times New Roman"/>
          <w:sz w:val="16"/>
          <w:szCs w:val="16"/>
        </w:rPr>
      </w:pPr>
    </w:p>
    <w:sectPr w:rsidR="00F4209B" w:rsidRPr="00DE1388" w:rsidSect="005B0C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77DCF" w14:textId="77777777" w:rsidR="00342302" w:rsidRDefault="00342302" w:rsidP="000C118A">
      <w:pPr>
        <w:spacing w:after="0" w:line="240" w:lineRule="auto"/>
      </w:pPr>
      <w:r>
        <w:separator/>
      </w:r>
    </w:p>
  </w:endnote>
  <w:endnote w:type="continuationSeparator" w:id="0">
    <w:p w14:paraId="5C56F9D2" w14:textId="77777777" w:rsidR="00342302" w:rsidRDefault="00342302" w:rsidP="000C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23859" w14:textId="77777777" w:rsidR="00342302" w:rsidRDefault="00342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F49F4" w14:textId="77777777" w:rsidR="00342302" w:rsidRDefault="00342302">
    <w:pPr>
      <w:pStyle w:val="Footer"/>
      <w:jc w:val="right"/>
    </w:pPr>
    <w:r>
      <w:t xml:space="preserve">FA - </w:t>
    </w:r>
    <w:sdt>
      <w:sdtPr>
        <w:id w:val="-19278775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B5B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1234EFEF" w14:textId="77777777" w:rsidR="00342302" w:rsidRDefault="003423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B5B55" w14:textId="77777777" w:rsidR="00342302" w:rsidRDefault="00342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30AE7" w14:textId="77777777" w:rsidR="00342302" w:rsidRDefault="00342302" w:rsidP="000C118A">
      <w:pPr>
        <w:spacing w:after="0" w:line="240" w:lineRule="auto"/>
      </w:pPr>
      <w:r>
        <w:separator/>
      </w:r>
    </w:p>
  </w:footnote>
  <w:footnote w:type="continuationSeparator" w:id="0">
    <w:p w14:paraId="78EB183D" w14:textId="77777777" w:rsidR="00342302" w:rsidRDefault="00342302" w:rsidP="000C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D32FD" w14:textId="77777777" w:rsidR="00342302" w:rsidRDefault="003423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2F2A2" w14:textId="77777777" w:rsidR="00342302" w:rsidRDefault="003423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DDECA" w14:textId="77777777" w:rsidR="00342302" w:rsidRDefault="003423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45CCC"/>
    <w:multiLevelType w:val="hybridMultilevel"/>
    <w:tmpl w:val="D284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F"/>
    <w:rsid w:val="00007B5B"/>
    <w:rsid w:val="00064B6C"/>
    <w:rsid w:val="000C118A"/>
    <w:rsid w:val="00105EAB"/>
    <w:rsid w:val="00120C2D"/>
    <w:rsid w:val="001571C8"/>
    <w:rsid w:val="0015766F"/>
    <w:rsid w:val="00162750"/>
    <w:rsid w:val="0017186B"/>
    <w:rsid w:val="001A6F48"/>
    <w:rsid w:val="001B31A3"/>
    <w:rsid w:val="001C0933"/>
    <w:rsid w:val="001C6E4C"/>
    <w:rsid w:val="001D3514"/>
    <w:rsid w:val="002453FF"/>
    <w:rsid w:val="0027558A"/>
    <w:rsid w:val="00324BBD"/>
    <w:rsid w:val="00342302"/>
    <w:rsid w:val="00387C90"/>
    <w:rsid w:val="003903A3"/>
    <w:rsid w:val="003A3196"/>
    <w:rsid w:val="004403AA"/>
    <w:rsid w:val="00484923"/>
    <w:rsid w:val="004F416B"/>
    <w:rsid w:val="005B0CDE"/>
    <w:rsid w:val="005D6A49"/>
    <w:rsid w:val="005F6F72"/>
    <w:rsid w:val="005F70D5"/>
    <w:rsid w:val="00655612"/>
    <w:rsid w:val="007970F6"/>
    <w:rsid w:val="008602F3"/>
    <w:rsid w:val="008732D9"/>
    <w:rsid w:val="008D0C2C"/>
    <w:rsid w:val="008E0416"/>
    <w:rsid w:val="0092444F"/>
    <w:rsid w:val="00927BC9"/>
    <w:rsid w:val="00932659"/>
    <w:rsid w:val="009C0CC1"/>
    <w:rsid w:val="009C6D5F"/>
    <w:rsid w:val="00A109E2"/>
    <w:rsid w:val="00A731B3"/>
    <w:rsid w:val="00B1464B"/>
    <w:rsid w:val="00B71C75"/>
    <w:rsid w:val="00C50952"/>
    <w:rsid w:val="00C93F0B"/>
    <w:rsid w:val="00CC4E1B"/>
    <w:rsid w:val="00CF7759"/>
    <w:rsid w:val="00D055F3"/>
    <w:rsid w:val="00D075D5"/>
    <w:rsid w:val="00D34BC1"/>
    <w:rsid w:val="00D65ED2"/>
    <w:rsid w:val="00DB5093"/>
    <w:rsid w:val="00DE1388"/>
    <w:rsid w:val="00DE69AB"/>
    <w:rsid w:val="00DE6CA0"/>
    <w:rsid w:val="00E5452F"/>
    <w:rsid w:val="00E85BDA"/>
    <w:rsid w:val="00F00F4C"/>
    <w:rsid w:val="00F356B7"/>
    <w:rsid w:val="00F4209B"/>
    <w:rsid w:val="00F6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97A72"/>
  <w15:docId w15:val="{8F45DB6F-7678-4CE3-A47D-B9A8B9EC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1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18A"/>
  </w:style>
  <w:style w:type="paragraph" w:styleId="Footer">
    <w:name w:val="footer"/>
    <w:basedOn w:val="Normal"/>
    <w:link w:val="FooterChar"/>
    <w:uiPriority w:val="99"/>
    <w:unhideWhenUsed/>
    <w:rsid w:val="000C1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sfiles\COusers$\rbedard\Sue%20Pierce%20File%20Folder\Sue%20Pierce%20Files\FY%202016%20RECORDS\FY%202016%20Budget%20Presentation\Teacher%20Step%20FY%20201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424242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Percent of Teaching Staff by Step, </a:t>
            </a:r>
            <a:r>
              <a:rPr lang="en-US" sz="1400" b="0" i="0" u="none" strike="noStrike" kern="1200" baseline="0">
                <a:solidFill>
                  <a:srgbClr val="424242"/>
                </a:solidFill>
                <a:latin typeface="Calibri"/>
              </a:rPr>
              <a:t>FY 2017</a:t>
            </a:r>
            <a:r>
              <a:rPr lang="en-US"/>
              <a:t> Projection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'TEACH PLACEMT FY16'!$J$6:$J$7</c:f>
              <c:strCache>
                <c:ptCount val="2"/>
                <c:pt idx="0">
                  <c:v>Percent of Staff</c:v>
                </c:pt>
                <c:pt idx="1">
                  <c:v>by Step</c:v>
                </c:pt>
              </c:strCache>
            </c:strRef>
          </c:tx>
          <c:explosion val="17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explosion val="29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34162966003657103"/>
                  <c:y val="0.1429390237906260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424242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9030906850929299"/>
                  <c:y val="4.641735795514410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424242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0841859053332601E-2"/>
                  <c:y val="-1.1590466891906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424242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209360079990001"/>
                  <c:y val="-2.5141008801196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424242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7429267770100201"/>
                  <c:y val="5.424958031004380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424242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5373221204492299"/>
                  <c:y val="0.13021451600441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424242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142542896423661"/>
                  <c:y val="0.1874078964928669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424242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13448318960130001"/>
                  <c:y val="0.26820435915626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424242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6167584315118498E-2"/>
                  <c:y val="-2.7447874624956198E-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424242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/>
                      <a:t>Percentage of Staff at Top Step, </a:t>
                    </a:r>
                    <a:fld id="{DCE79491-B582-4AD4-A9A8-FF6FE256636B}" type="VALUE">
                      <a:rPr lang="en-US" baseline="0"/>
                      <a:pPr>
                        <a:defRPr sz="900" b="0" i="0" u="none" strike="noStrike" baseline="0">
                          <a:solidFill>
                            <a:srgbClr val="424242"/>
                          </a:solidFill>
                          <a:latin typeface="Calibri"/>
                          <a:ea typeface="Calibri"/>
                          <a:cs typeface="Calibri"/>
                        </a:defRPr>
                      </a:pPr>
                      <a:t>[VALUE]</a:t>
                    </a:fld>
                    <a:endParaRPr lang="en-US" baseline="0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424242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1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'TEACH PLACEMT FY16'!$J$8:$J$16</c:f>
              <c:numCache>
                <c:formatCode>0.00%</c:formatCode>
                <c:ptCount val="9"/>
                <c:pt idx="0">
                  <c:v>0</c:v>
                </c:pt>
                <c:pt idx="1">
                  <c:v>3.2500000000000001E-2</c:v>
                </c:pt>
                <c:pt idx="2">
                  <c:v>2.5999999999999999E-2</c:v>
                </c:pt>
                <c:pt idx="3">
                  <c:v>4.5499999999999999E-2</c:v>
                </c:pt>
                <c:pt idx="4">
                  <c:v>3.2500000000000001E-2</c:v>
                </c:pt>
                <c:pt idx="5">
                  <c:v>1.95E-2</c:v>
                </c:pt>
                <c:pt idx="6">
                  <c:v>3.2500000000000001E-2</c:v>
                </c:pt>
                <c:pt idx="7">
                  <c:v>1.2999999999999999E-2</c:v>
                </c:pt>
                <c:pt idx="8">
                  <c:v>0.7984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SPED Out of District Students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Budgeted</a:t>
            </a:r>
            <a:r>
              <a:rPr lang="en-US" baseline="0"/>
              <a:t> by Fiscal Year</a:t>
            </a:r>
            <a:endParaRPr lang="en-US"/>
          </a:p>
        </c:rich>
      </c:tx>
      <c:layout/>
      <c:overlay val="0"/>
      <c:spPr>
        <a:noFill/>
        <a:ln w="2540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OOD!$E$72</c:f>
              <c:strCache>
                <c:ptCount val="1"/>
                <c:pt idx="0">
                  <c:v>Students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OOD!$D$74:$D$78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OOD!$E$74:$E$78</c:f>
              <c:numCache>
                <c:formatCode>General</c:formatCode>
                <c:ptCount val="5"/>
                <c:pt idx="0">
                  <c:v>22</c:v>
                </c:pt>
                <c:pt idx="1">
                  <c:v>22</c:v>
                </c:pt>
                <c:pt idx="2">
                  <c:v>21</c:v>
                </c:pt>
                <c:pt idx="3">
                  <c:v>26</c:v>
                </c:pt>
                <c:pt idx="4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640648"/>
        <c:axId val="164649224"/>
      </c:lineChart>
      <c:catAx>
        <c:axId val="164640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649224"/>
        <c:crosses val="autoZero"/>
        <c:auto val="1"/>
        <c:lblAlgn val="ctr"/>
        <c:lblOffset val="100"/>
        <c:noMultiLvlLbl val="0"/>
      </c:catAx>
      <c:valAx>
        <c:axId val="164649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6406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Total Annual KWh Usage by School/Total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434542863151"/>
          <c:y val="0.130520570948782"/>
          <c:w val="0.83598098086403905"/>
          <c:h val="0.58632030253145295"/>
        </c:manualLayout>
      </c:layout>
      <c:lineChart>
        <c:grouping val="standard"/>
        <c:varyColors val="0"/>
        <c:ser>
          <c:idx val="0"/>
          <c:order val="0"/>
          <c:tx>
            <c:strRef>
              <c:f>'MHS Electricity'!$D$38</c:f>
              <c:strCache>
                <c:ptCount val="1"/>
                <c:pt idx="0">
                  <c:v>Millbury Jr./Sr. High School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3.7783375314861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334128455857598E-17"/>
                  <c:y val="-2.9387069689336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2.9387069689336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47279920870425E-3"/>
                  <c:y val="-3.35852225020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2.5188916876574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336285151346401E-16"/>
                  <c:y val="-3.3585222502099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-2.5188916876574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'MHS Electricity'!$E$37:$K$37</c:f>
              <c:strCache>
                <c:ptCount val="7"/>
                <c:pt idx="0">
                  <c:v>FY 2009</c:v>
                </c:pt>
                <c:pt idx="1">
                  <c:v>FY 2010</c:v>
                </c:pt>
                <c:pt idx="2">
                  <c:v>FY 2011</c:v>
                </c:pt>
                <c:pt idx="3">
                  <c:v>FY 2012</c:v>
                </c:pt>
                <c:pt idx="4">
                  <c:v>FY 2013</c:v>
                </c:pt>
                <c:pt idx="5">
                  <c:v>FY 2014</c:v>
                </c:pt>
                <c:pt idx="6">
                  <c:v>FY 2015</c:v>
                </c:pt>
              </c:strCache>
            </c:strRef>
          </c:cat>
          <c:val>
            <c:numRef>
              <c:f>'MHS Electricity'!$E$38:$K$38</c:f>
              <c:numCache>
                <c:formatCode>_(* #,##0_);_(* \(#,##0\);_(* "-"??_);_(@_)</c:formatCode>
                <c:ptCount val="7"/>
                <c:pt idx="0">
                  <c:v>1636600</c:v>
                </c:pt>
                <c:pt idx="1">
                  <c:v>1571200</c:v>
                </c:pt>
                <c:pt idx="2">
                  <c:v>1567000</c:v>
                </c:pt>
                <c:pt idx="3">
                  <c:v>1503600</c:v>
                </c:pt>
                <c:pt idx="4">
                  <c:v>1452800</c:v>
                </c:pt>
                <c:pt idx="5">
                  <c:v>1340000</c:v>
                </c:pt>
                <c:pt idx="6">
                  <c:v>1187400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'MHS Electricity'!$D$39</c:f>
              <c:strCache>
                <c:ptCount val="1"/>
                <c:pt idx="0">
                  <c:v>R.E. Shaw Elementary School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3.7783375314861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334128455857598E-17"/>
                  <c:y val="-2.9387069689336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2.5188916876574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9.0668256911715197E-17"/>
                  <c:y val="-2.9387069689336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3.3585222502099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336285151346401E-16"/>
                  <c:y val="-4.6179680940386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'MHS Electricity'!$E$37:$K$37</c:f>
              <c:strCache>
                <c:ptCount val="7"/>
                <c:pt idx="0">
                  <c:v>FY 2009</c:v>
                </c:pt>
                <c:pt idx="1">
                  <c:v>FY 2010</c:v>
                </c:pt>
                <c:pt idx="2">
                  <c:v>FY 2011</c:v>
                </c:pt>
                <c:pt idx="3">
                  <c:v>FY 2012</c:v>
                </c:pt>
                <c:pt idx="4">
                  <c:v>FY 2013</c:v>
                </c:pt>
                <c:pt idx="5">
                  <c:v>FY 2014</c:v>
                </c:pt>
                <c:pt idx="6">
                  <c:v>FY 2015</c:v>
                </c:pt>
              </c:strCache>
            </c:strRef>
          </c:cat>
          <c:val>
            <c:numRef>
              <c:f>'MHS Electricity'!$E$39:$K$39</c:f>
              <c:numCache>
                <c:formatCode>_(* #,##0_);_(* \(#,##0\);_(* "-"??_);_(@_)</c:formatCode>
                <c:ptCount val="7"/>
                <c:pt idx="0">
                  <c:v>418240</c:v>
                </c:pt>
                <c:pt idx="1">
                  <c:v>354160</c:v>
                </c:pt>
                <c:pt idx="2">
                  <c:v>366880</c:v>
                </c:pt>
                <c:pt idx="3">
                  <c:v>336480</c:v>
                </c:pt>
                <c:pt idx="4">
                  <c:v>386960</c:v>
                </c:pt>
                <c:pt idx="5">
                  <c:v>383280</c:v>
                </c:pt>
                <c:pt idx="6">
                  <c:v>381320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'MHS Electricity'!$D$40</c:f>
              <c:strCache>
                <c:ptCount val="1"/>
                <c:pt idx="0">
                  <c:v>Elmwood Street School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3.35852225020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334128455857598E-17"/>
                  <c:y val="-2.5188916876574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3.35852225020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9.0668256911715197E-17"/>
                  <c:y val="-2.0990764063811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4.1981528127623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36406619385343E-3"/>
                  <c:y val="-1.2594458438287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'MHS Electricity'!$E$37:$K$37</c:f>
              <c:strCache>
                <c:ptCount val="7"/>
                <c:pt idx="0">
                  <c:v>FY 2009</c:v>
                </c:pt>
                <c:pt idx="1">
                  <c:v>FY 2010</c:v>
                </c:pt>
                <c:pt idx="2">
                  <c:v>FY 2011</c:v>
                </c:pt>
                <c:pt idx="3">
                  <c:v>FY 2012</c:v>
                </c:pt>
                <c:pt idx="4">
                  <c:v>FY 2013</c:v>
                </c:pt>
                <c:pt idx="5">
                  <c:v>FY 2014</c:v>
                </c:pt>
                <c:pt idx="6">
                  <c:v>FY 2015</c:v>
                </c:pt>
              </c:strCache>
            </c:strRef>
          </c:cat>
          <c:val>
            <c:numRef>
              <c:f>'MHS Electricity'!$E$40:$K$40</c:f>
              <c:numCache>
                <c:formatCode>_(* #,##0_);_(* \(#,##0\);_(* "-"??_);_(@_)</c:formatCode>
                <c:ptCount val="7"/>
                <c:pt idx="0">
                  <c:v>980400</c:v>
                </c:pt>
                <c:pt idx="1">
                  <c:v>877600</c:v>
                </c:pt>
                <c:pt idx="2">
                  <c:v>871600</c:v>
                </c:pt>
                <c:pt idx="3">
                  <c:v>874000</c:v>
                </c:pt>
                <c:pt idx="4">
                  <c:v>928000</c:v>
                </c:pt>
                <c:pt idx="5">
                  <c:v>1012400</c:v>
                </c:pt>
                <c:pt idx="6">
                  <c:v>880400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'MHS Electricity'!$D$41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9.7354299555285603E-8"/>
                  <c:y val="-2.93870696893367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990346347656095"/>
                      <c:h val="6.2909485180851141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2.4727992087042101E-3"/>
                  <c:y val="-3.7783375314861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1666666666666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154589371980701E-3"/>
                  <c:y val="-5.4575986565910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4154589371980701E-3"/>
                  <c:y val="-3.7783375314861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2.9387069689336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-2.5188916876574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'MHS Electricity'!$E$37:$K$37</c:f>
              <c:strCache>
                <c:ptCount val="7"/>
                <c:pt idx="0">
                  <c:v>FY 2009</c:v>
                </c:pt>
                <c:pt idx="1">
                  <c:v>FY 2010</c:v>
                </c:pt>
                <c:pt idx="2">
                  <c:v>FY 2011</c:v>
                </c:pt>
                <c:pt idx="3">
                  <c:v>FY 2012</c:v>
                </c:pt>
                <c:pt idx="4">
                  <c:v>FY 2013</c:v>
                </c:pt>
                <c:pt idx="5">
                  <c:v>FY 2014</c:v>
                </c:pt>
                <c:pt idx="6">
                  <c:v>FY 2015</c:v>
                </c:pt>
              </c:strCache>
            </c:strRef>
          </c:cat>
          <c:val>
            <c:numRef>
              <c:f>'MHS Electricity'!$E$41:$K$41</c:f>
              <c:numCache>
                <c:formatCode>_(* #,##0_);_(* \(#,##0\);_(* "-"??_);_(@_)</c:formatCode>
                <c:ptCount val="7"/>
                <c:pt idx="0">
                  <c:v>3035240</c:v>
                </c:pt>
                <c:pt idx="1">
                  <c:v>2802960</c:v>
                </c:pt>
                <c:pt idx="2">
                  <c:v>2805480</c:v>
                </c:pt>
                <c:pt idx="3">
                  <c:v>2714080</c:v>
                </c:pt>
                <c:pt idx="4">
                  <c:v>2767760</c:v>
                </c:pt>
                <c:pt idx="5">
                  <c:v>2735680</c:v>
                </c:pt>
                <c:pt idx="6">
                  <c:v>2449120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5188392"/>
        <c:axId val="165188776"/>
      </c:lineChart>
      <c:catAx>
        <c:axId val="165188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188776"/>
        <c:crosses val="autoZero"/>
        <c:auto val="1"/>
        <c:lblAlgn val="ctr"/>
        <c:lblOffset val="100"/>
        <c:noMultiLvlLbl val="0"/>
      </c:catAx>
      <c:valAx>
        <c:axId val="165188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188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A74B-B030-42EC-96E4-EBF3F441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BFA9E8BE</Template>
  <TotalTime>5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Bedard, Richard</dc:creator>
  <cp:keywords/>
  <dc:description/>
  <cp:lastModifiedBy>Bedard, Richard</cp:lastModifiedBy>
  <cp:revision>4</cp:revision>
  <cp:lastPrinted>2015-12-29T16:56:00Z</cp:lastPrinted>
  <dcterms:created xsi:type="dcterms:W3CDTF">2015-12-29T18:10:00Z</dcterms:created>
  <dcterms:modified xsi:type="dcterms:W3CDTF">2016-01-04T13:33:00Z</dcterms:modified>
</cp:coreProperties>
</file>