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thinThickLargeGap" w:sz="24" w:space="0" w:color="auto"/>
          <w:left w:val="thinThickLargeGap" w:sz="24" w:space="0" w:color="auto"/>
          <w:bottom w:val="thickThinLargeGap" w:sz="24" w:space="0" w:color="auto"/>
          <w:right w:val="thickThinLargeGap" w:sz="24" w:space="0" w:color="auto"/>
          <w:insideV w:val="thinThickLargeGap" w:sz="24" w:space="0" w:color="auto"/>
        </w:tblBorders>
        <w:tblLook w:val="0000" w:firstRow="0" w:lastRow="0" w:firstColumn="0" w:lastColumn="0" w:noHBand="0" w:noVBand="0"/>
      </w:tblPr>
      <w:tblGrid>
        <w:gridCol w:w="4646"/>
        <w:gridCol w:w="4608"/>
      </w:tblGrid>
      <w:tr w:rsidR="009D02E5" w:rsidRPr="004F0654" w14:paraId="0B2E5BC5" w14:textId="77777777" w:rsidTr="00C93454">
        <w:tc>
          <w:tcPr>
            <w:tcW w:w="4788" w:type="dxa"/>
          </w:tcPr>
          <w:p w14:paraId="388C965E" w14:textId="77777777" w:rsidR="009D02E5" w:rsidRPr="004F0654" w:rsidRDefault="009D02E5" w:rsidP="00C93454">
            <w:pPr>
              <w:rPr>
                <w:rFonts w:ascii="Rockwell" w:hAnsi="Rockwell" w:cs="Arial"/>
                <w:sz w:val="22"/>
                <w:szCs w:val="22"/>
              </w:rPr>
            </w:pPr>
          </w:p>
        </w:tc>
        <w:tc>
          <w:tcPr>
            <w:tcW w:w="4788" w:type="dxa"/>
          </w:tcPr>
          <w:p w14:paraId="0471574A" w14:textId="5942FA26" w:rsidR="009D02E5" w:rsidRPr="004F0654" w:rsidRDefault="009D02E5" w:rsidP="00C93454">
            <w:pPr>
              <w:jc w:val="center"/>
              <w:rPr>
                <w:rFonts w:ascii="Rockwell" w:hAnsi="Rockwell" w:cs="Arial"/>
                <w:i/>
                <w:sz w:val="22"/>
                <w:szCs w:val="22"/>
              </w:rPr>
            </w:pPr>
            <w:r w:rsidRPr="004F0654">
              <w:rPr>
                <w:rFonts w:ascii="Rockwell" w:hAnsi="Rockwell" w:cs="Arial"/>
                <w:i/>
                <w:sz w:val="22"/>
                <w:szCs w:val="22"/>
              </w:rPr>
              <w:t>S</w:t>
            </w:r>
            <w:r>
              <w:rPr>
                <w:rFonts w:ascii="Rockwell" w:hAnsi="Rockwell" w:cs="Arial"/>
                <w:i/>
                <w:sz w:val="22"/>
                <w:szCs w:val="22"/>
              </w:rPr>
              <w:t>chool Property</w:t>
            </w:r>
          </w:p>
        </w:tc>
      </w:tr>
      <w:tr w:rsidR="009D02E5" w:rsidRPr="004F0654" w14:paraId="15116394" w14:textId="77777777" w:rsidTr="00C93454">
        <w:tc>
          <w:tcPr>
            <w:tcW w:w="4788" w:type="dxa"/>
          </w:tcPr>
          <w:p w14:paraId="0C835CA7" w14:textId="2C731060" w:rsidR="009D02E5" w:rsidRPr="004F0654" w:rsidRDefault="009D02E5" w:rsidP="00C93454">
            <w:pPr>
              <w:pBdr>
                <w:left w:val="double" w:sz="4" w:space="4" w:color="auto"/>
              </w:pBdr>
              <w:jc w:val="center"/>
              <w:rPr>
                <w:rFonts w:ascii="Rockwell" w:hAnsi="Rockwell" w:cs="Arial"/>
                <w:b/>
                <w:sz w:val="22"/>
                <w:szCs w:val="22"/>
              </w:rPr>
            </w:pPr>
            <w:r>
              <w:rPr>
                <w:rFonts w:ascii="Rockwell" w:hAnsi="Rockwell" w:cs="Arial"/>
                <w:b/>
                <w:sz w:val="22"/>
                <w:szCs w:val="22"/>
              </w:rPr>
              <w:t>NAME</w:t>
            </w:r>
            <w:r w:rsidRPr="004F0654">
              <w:rPr>
                <w:rFonts w:ascii="Rockwell" w:hAnsi="Rockwell" w:cs="Arial"/>
                <w:b/>
                <w:sz w:val="22"/>
                <w:szCs w:val="22"/>
              </w:rPr>
              <w:t xml:space="preserve"> </w:t>
            </w:r>
            <w:r w:rsidR="00901CAD">
              <w:rPr>
                <w:rFonts w:ascii="Rockwell" w:hAnsi="Rockwell" w:cs="Arial"/>
                <w:b/>
                <w:sz w:val="22"/>
                <w:szCs w:val="22"/>
              </w:rPr>
              <w:t>TECHNOLOGY CENTER</w:t>
            </w:r>
          </w:p>
          <w:p w14:paraId="26861C1B" w14:textId="77777777" w:rsidR="009D02E5" w:rsidRPr="004F0654" w:rsidRDefault="009D02E5" w:rsidP="00C93454">
            <w:pPr>
              <w:jc w:val="center"/>
              <w:rPr>
                <w:rFonts w:ascii="Rockwell" w:hAnsi="Rockwell" w:cs="Arial"/>
                <w:sz w:val="22"/>
                <w:szCs w:val="22"/>
              </w:rPr>
            </w:pPr>
            <w:r w:rsidRPr="004F0654">
              <w:rPr>
                <w:rFonts w:ascii="Rockwell" w:hAnsi="Rockwell" w:cs="Arial"/>
                <w:sz w:val="22"/>
                <w:szCs w:val="22"/>
              </w:rPr>
              <w:t>BOARD OF EDUCATION POLICY</w:t>
            </w:r>
          </w:p>
        </w:tc>
        <w:tc>
          <w:tcPr>
            <w:tcW w:w="4788" w:type="dxa"/>
          </w:tcPr>
          <w:p w14:paraId="01F0FC72" w14:textId="77777777" w:rsidR="009D02E5" w:rsidRPr="004F0654" w:rsidRDefault="009D02E5" w:rsidP="00C93454">
            <w:pPr>
              <w:rPr>
                <w:rFonts w:ascii="Rockwell" w:hAnsi="Rockwell" w:cs="Arial"/>
                <w:sz w:val="22"/>
                <w:szCs w:val="22"/>
              </w:rPr>
            </w:pPr>
          </w:p>
        </w:tc>
      </w:tr>
      <w:tr w:rsidR="009D02E5" w:rsidRPr="004F0654" w14:paraId="7BA1E417" w14:textId="77777777" w:rsidTr="00C93454">
        <w:tc>
          <w:tcPr>
            <w:tcW w:w="4788" w:type="dxa"/>
          </w:tcPr>
          <w:p w14:paraId="5725E727" w14:textId="77777777" w:rsidR="009D02E5" w:rsidRPr="004F0654" w:rsidRDefault="009D02E5" w:rsidP="00C93454">
            <w:pPr>
              <w:rPr>
                <w:rFonts w:ascii="Rockwell" w:hAnsi="Rockwell" w:cs="Arial"/>
                <w:sz w:val="22"/>
                <w:szCs w:val="22"/>
              </w:rPr>
            </w:pPr>
          </w:p>
        </w:tc>
        <w:tc>
          <w:tcPr>
            <w:tcW w:w="4788" w:type="dxa"/>
          </w:tcPr>
          <w:p w14:paraId="6421B176" w14:textId="24677997" w:rsidR="009D02E5" w:rsidRPr="004F0654" w:rsidRDefault="0095732A" w:rsidP="00C93454">
            <w:pPr>
              <w:jc w:val="center"/>
              <w:rPr>
                <w:rFonts w:ascii="Rockwell" w:hAnsi="Rockwell" w:cs="Arial"/>
                <w:sz w:val="22"/>
                <w:szCs w:val="22"/>
              </w:rPr>
            </w:pPr>
            <w:r>
              <w:rPr>
                <w:rFonts w:ascii="Rockwell" w:hAnsi="Rockwell" w:cs="Arial"/>
                <w:sz w:val="22"/>
                <w:szCs w:val="22"/>
              </w:rPr>
              <w:t xml:space="preserve">Revised: </w:t>
            </w:r>
            <w:r w:rsidR="00C42E93">
              <w:rPr>
                <w:rFonts w:ascii="Rockwell" w:hAnsi="Rockwell" w:cs="Arial"/>
                <w:sz w:val="22"/>
                <w:szCs w:val="22"/>
              </w:rPr>
              <w:t>October 4, 2022</w:t>
            </w:r>
            <w:bookmarkStart w:id="0" w:name="_GoBack"/>
            <w:bookmarkEnd w:id="0"/>
          </w:p>
        </w:tc>
      </w:tr>
    </w:tbl>
    <w:p w14:paraId="0CB83999" w14:textId="77777777" w:rsidR="009D02E5" w:rsidRPr="004F0654" w:rsidRDefault="009D02E5" w:rsidP="009D02E5">
      <w:pPr>
        <w:rPr>
          <w:rFonts w:ascii="Rockwell" w:hAnsi="Rockwell"/>
          <w:sz w:val="22"/>
          <w:szCs w:val="22"/>
        </w:rPr>
      </w:pPr>
    </w:p>
    <w:p w14:paraId="12866426" w14:textId="77777777" w:rsidR="009D02E5" w:rsidRPr="004F0654" w:rsidRDefault="009D02E5" w:rsidP="009D02E5">
      <w:pPr>
        <w:jc w:val="center"/>
        <w:rPr>
          <w:rFonts w:ascii="Rockwell" w:hAnsi="Rockwell"/>
          <w:b/>
          <w:sz w:val="22"/>
          <w:szCs w:val="22"/>
        </w:rPr>
      </w:pPr>
      <w:r w:rsidRPr="004F0654">
        <w:rPr>
          <w:rFonts w:ascii="Rockwell" w:hAnsi="Rockwell"/>
          <w:b/>
          <w:sz w:val="22"/>
          <w:szCs w:val="22"/>
        </w:rPr>
        <w:t xml:space="preserve"> </w:t>
      </w:r>
    </w:p>
    <w:p w14:paraId="0ABDF519" w14:textId="18F915A6" w:rsidR="009D02E5" w:rsidRDefault="009D02E5" w:rsidP="009D02E5">
      <w:pPr>
        <w:jc w:val="center"/>
        <w:rPr>
          <w:rFonts w:ascii="Rockwell" w:hAnsi="Rockwell"/>
          <w:b/>
          <w:bCs/>
          <w:sz w:val="22"/>
          <w:szCs w:val="22"/>
        </w:rPr>
      </w:pPr>
      <w:r>
        <w:rPr>
          <w:rFonts w:ascii="Rockwell" w:hAnsi="Rockwell"/>
          <w:b/>
          <w:bCs/>
          <w:sz w:val="22"/>
          <w:szCs w:val="22"/>
        </w:rPr>
        <w:t>USE OF MULTI</w:t>
      </w:r>
      <w:r w:rsidR="008468C5">
        <w:rPr>
          <w:rFonts w:ascii="Rockwell" w:hAnsi="Rockwell"/>
          <w:b/>
          <w:bCs/>
          <w:sz w:val="22"/>
          <w:szCs w:val="22"/>
        </w:rPr>
        <w:t xml:space="preserve">PLE </w:t>
      </w:r>
      <w:r>
        <w:rPr>
          <w:rFonts w:ascii="Rockwell" w:hAnsi="Rockwell"/>
          <w:b/>
          <w:bCs/>
          <w:sz w:val="22"/>
          <w:szCs w:val="22"/>
        </w:rPr>
        <w:t>OCCUPANCY RESTROOM</w:t>
      </w:r>
      <w:r w:rsidR="008468C5">
        <w:rPr>
          <w:rFonts w:ascii="Rockwell" w:hAnsi="Rockwell"/>
          <w:b/>
          <w:bCs/>
          <w:sz w:val="22"/>
          <w:szCs w:val="22"/>
        </w:rPr>
        <w:t>S</w:t>
      </w:r>
      <w:r>
        <w:rPr>
          <w:rFonts w:ascii="Rockwell" w:hAnsi="Rockwell"/>
          <w:b/>
          <w:bCs/>
          <w:sz w:val="22"/>
          <w:szCs w:val="22"/>
        </w:rPr>
        <w:t xml:space="preserve"> AND CHANGING AREAS</w:t>
      </w:r>
    </w:p>
    <w:p w14:paraId="553D7E3D" w14:textId="77777777" w:rsidR="009D02E5" w:rsidRPr="008100A3" w:rsidRDefault="009D02E5" w:rsidP="009D02E5">
      <w:pPr>
        <w:jc w:val="center"/>
        <w:rPr>
          <w:rFonts w:ascii="Rockwell" w:hAnsi="Rockwell"/>
          <w:b/>
          <w:bCs/>
          <w:sz w:val="22"/>
          <w:szCs w:val="22"/>
        </w:rPr>
      </w:pPr>
    </w:p>
    <w:p w14:paraId="4271B9B8" w14:textId="4E188F40" w:rsidR="00D15689" w:rsidRDefault="009D02E5" w:rsidP="00D15689">
      <w:pPr>
        <w:jc w:val="both"/>
        <w:rPr>
          <w:rFonts w:ascii="Rockwell" w:hAnsi="Rockwell"/>
          <w:sz w:val="22"/>
          <w:szCs w:val="22"/>
        </w:rPr>
      </w:pPr>
      <w:r>
        <w:rPr>
          <w:rFonts w:ascii="Rockwell" w:hAnsi="Rockwell"/>
          <w:sz w:val="22"/>
          <w:szCs w:val="22"/>
        </w:rPr>
        <w:t>Pursuant to SB615 (2022), each multioccupancy restroom and changing area located in public schools serving students in prekindergarten through twelfth grades shall be designated as either for the exclusive use of the male sex or for the exclusive use of the female sex.</w:t>
      </w:r>
      <w:r w:rsidR="00D15689">
        <w:rPr>
          <w:rFonts w:ascii="Rockwell" w:hAnsi="Rockwell"/>
          <w:sz w:val="22"/>
          <w:szCs w:val="22"/>
        </w:rPr>
        <w:t xml:space="preserve">  The </w:t>
      </w:r>
      <w:r w:rsidR="00901CAD">
        <w:rPr>
          <w:rFonts w:ascii="Rockwell" w:hAnsi="Rockwell"/>
          <w:sz w:val="22"/>
          <w:szCs w:val="22"/>
        </w:rPr>
        <w:t xml:space="preserve">Technology Center </w:t>
      </w:r>
      <w:r w:rsidR="00D15689">
        <w:rPr>
          <w:rFonts w:ascii="Rockwell" w:hAnsi="Rockwell"/>
          <w:sz w:val="22"/>
          <w:szCs w:val="22"/>
        </w:rPr>
        <w:t>has, therefore, designated its restrooms for use as follows: “males,” “men,” or “boys”; “females,” “women,” or “girls”; and “single-occupancy.”</w:t>
      </w:r>
    </w:p>
    <w:p w14:paraId="34708804" w14:textId="1FEE8D14" w:rsidR="009D02E5" w:rsidRDefault="009D02E5" w:rsidP="009D02E5">
      <w:pPr>
        <w:jc w:val="both"/>
        <w:rPr>
          <w:rFonts w:ascii="Rockwell" w:hAnsi="Rockwell"/>
          <w:sz w:val="22"/>
          <w:szCs w:val="22"/>
        </w:rPr>
      </w:pPr>
      <w:r>
        <w:rPr>
          <w:rFonts w:ascii="Rockwell" w:hAnsi="Rockwell"/>
          <w:sz w:val="22"/>
          <w:szCs w:val="22"/>
        </w:rPr>
        <w:t xml:space="preserve">  </w:t>
      </w:r>
    </w:p>
    <w:p w14:paraId="21008800" w14:textId="2901343A" w:rsidR="003F1F06" w:rsidRDefault="003F1F06" w:rsidP="009D02E5">
      <w:pPr>
        <w:jc w:val="both"/>
        <w:rPr>
          <w:rFonts w:ascii="Rockwell" w:hAnsi="Rockwell"/>
          <w:sz w:val="22"/>
          <w:szCs w:val="22"/>
        </w:rPr>
      </w:pPr>
      <w:r>
        <w:rPr>
          <w:rFonts w:ascii="Rockwell" w:hAnsi="Rockwell"/>
          <w:sz w:val="22"/>
          <w:szCs w:val="22"/>
        </w:rPr>
        <w:t>“Sex,” for the purposes of this policy is defined as the physical condition of being male or female based on genetics and physiology, as identified on the individual’s original birth certificate.</w:t>
      </w:r>
    </w:p>
    <w:p w14:paraId="2E3D6D7D" w14:textId="059E14C7" w:rsidR="00E23EA1" w:rsidRDefault="00E23EA1" w:rsidP="009D02E5">
      <w:pPr>
        <w:jc w:val="both"/>
        <w:rPr>
          <w:rFonts w:ascii="Rockwell" w:hAnsi="Rockwell"/>
          <w:sz w:val="22"/>
          <w:szCs w:val="22"/>
        </w:rPr>
      </w:pPr>
    </w:p>
    <w:p w14:paraId="1C8FCAE5" w14:textId="59057DDD" w:rsidR="00E23EA1" w:rsidRDefault="00E23EA1" w:rsidP="009D02E5">
      <w:pPr>
        <w:jc w:val="both"/>
        <w:rPr>
          <w:rFonts w:ascii="Rockwell" w:hAnsi="Rockwell"/>
          <w:sz w:val="22"/>
          <w:szCs w:val="22"/>
        </w:rPr>
      </w:pPr>
      <w:r>
        <w:rPr>
          <w:rFonts w:ascii="Rockwell" w:hAnsi="Rockwell"/>
          <w:sz w:val="22"/>
          <w:szCs w:val="22"/>
        </w:rPr>
        <w:t>“Multiple occupancy restroom or changing area” is defined as an area in a public school or public charter school building designed or designated to be used by more than one individual at a time, where individuals may be in various stages of undress in the presence of other individuals.  The term may include but is not limited to a school restroom, locker room, changing room, or shower room.</w:t>
      </w:r>
    </w:p>
    <w:p w14:paraId="42BA677E" w14:textId="72745192" w:rsidR="00D15689" w:rsidRDefault="00D15689" w:rsidP="009D02E5">
      <w:pPr>
        <w:jc w:val="both"/>
        <w:rPr>
          <w:rFonts w:ascii="Rockwell" w:hAnsi="Rockwell"/>
          <w:sz w:val="22"/>
          <w:szCs w:val="22"/>
        </w:rPr>
      </w:pPr>
    </w:p>
    <w:p w14:paraId="0D64AE04" w14:textId="77777777" w:rsidR="00D15689" w:rsidRDefault="00D15689" w:rsidP="00D15689">
      <w:pPr>
        <w:jc w:val="both"/>
        <w:rPr>
          <w:rFonts w:ascii="Rockwell" w:hAnsi="Rockwell"/>
          <w:sz w:val="22"/>
          <w:szCs w:val="22"/>
        </w:rPr>
      </w:pPr>
      <w:r>
        <w:rPr>
          <w:rFonts w:ascii="Rockwell" w:hAnsi="Rockwell"/>
          <w:sz w:val="22"/>
          <w:szCs w:val="22"/>
        </w:rPr>
        <w:t>“School” means any public school and public charter school that serves students in prekindergarten through twelfth grades in this state.</w:t>
      </w:r>
    </w:p>
    <w:p w14:paraId="5C10AD58" w14:textId="1704AB56" w:rsidR="003F1F06" w:rsidRDefault="003F1F06" w:rsidP="009D02E5">
      <w:pPr>
        <w:jc w:val="both"/>
        <w:rPr>
          <w:rFonts w:ascii="Rockwell" w:hAnsi="Rockwell"/>
          <w:sz w:val="22"/>
          <w:szCs w:val="22"/>
        </w:rPr>
      </w:pPr>
    </w:p>
    <w:p w14:paraId="292DBBDD" w14:textId="6EF7035B" w:rsidR="00F17EBE" w:rsidRDefault="00F17EBE" w:rsidP="009D02E5">
      <w:pPr>
        <w:jc w:val="both"/>
        <w:rPr>
          <w:rFonts w:ascii="Rockwell" w:hAnsi="Rockwell"/>
          <w:sz w:val="22"/>
          <w:szCs w:val="22"/>
        </w:rPr>
      </w:pPr>
      <w:r>
        <w:rPr>
          <w:rFonts w:ascii="Rockwell" w:hAnsi="Rockwell"/>
          <w:sz w:val="22"/>
          <w:szCs w:val="22"/>
        </w:rPr>
        <w:t>“Individual,” for the purposes of this policy is defined as any student</w:t>
      </w:r>
      <w:r w:rsidR="00D15689">
        <w:rPr>
          <w:rFonts w:ascii="Rockwell" w:hAnsi="Rockwell"/>
          <w:sz w:val="22"/>
          <w:szCs w:val="22"/>
        </w:rPr>
        <w:t>, teacher, staff member, or other person on the premises of a School</w:t>
      </w:r>
      <w:r>
        <w:rPr>
          <w:rFonts w:ascii="Rockwell" w:hAnsi="Rockwell"/>
          <w:sz w:val="22"/>
          <w:szCs w:val="22"/>
        </w:rPr>
        <w:t xml:space="preserve">. </w:t>
      </w:r>
    </w:p>
    <w:p w14:paraId="15DD2440" w14:textId="77777777" w:rsidR="00F17EBE" w:rsidRDefault="00F17EBE" w:rsidP="009D02E5">
      <w:pPr>
        <w:jc w:val="both"/>
        <w:rPr>
          <w:rFonts w:ascii="Rockwell" w:hAnsi="Rockwell"/>
          <w:sz w:val="22"/>
          <w:szCs w:val="22"/>
        </w:rPr>
      </w:pPr>
    </w:p>
    <w:p w14:paraId="01347DEC" w14:textId="4D78B1A4" w:rsidR="003F1F06" w:rsidRDefault="003F1F06" w:rsidP="009D02E5">
      <w:pPr>
        <w:jc w:val="both"/>
        <w:rPr>
          <w:rFonts w:ascii="Rockwell" w:hAnsi="Rockwell"/>
          <w:sz w:val="22"/>
          <w:szCs w:val="22"/>
        </w:rPr>
      </w:pPr>
      <w:r>
        <w:rPr>
          <w:rFonts w:ascii="Rockwell" w:hAnsi="Rockwell"/>
          <w:sz w:val="22"/>
          <w:szCs w:val="22"/>
        </w:rPr>
        <w:t xml:space="preserve">If an individual does not wish to comply by using the </w:t>
      </w:r>
      <w:r w:rsidR="00193C6C">
        <w:rPr>
          <w:rFonts w:ascii="Rockwell" w:hAnsi="Rockwell"/>
          <w:sz w:val="22"/>
          <w:szCs w:val="22"/>
        </w:rPr>
        <w:t>appropriate restroom or changing room</w:t>
      </w:r>
      <w:r>
        <w:rPr>
          <w:rFonts w:ascii="Rockwell" w:hAnsi="Rockwell"/>
          <w:sz w:val="22"/>
          <w:szCs w:val="22"/>
        </w:rPr>
        <w:t xml:space="preserve"> based on sex as de</w:t>
      </w:r>
      <w:r w:rsidR="00193C6C">
        <w:rPr>
          <w:rFonts w:ascii="Rockwell" w:hAnsi="Rockwell"/>
          <w:sz w:val="22"/>
          <w:szCs w:val="22"/>
        </w:rPr>
        <w:t xml:space="preserve">fined </w:t>
      </w:r>
      <w:r>
        <w:rPr>
          <w:rFonts w:ascii="Rockwell" w:hAnsi="Rockwell"/>
          <w:sz w:val="22"/>
          <w:szCs w:val="22"/>
        </w:rPr>
        <w:t xml:space="preserve">herein, the </w:t>
      </w:r>
      <w:r w:rsidR="00901CAD">
        <w:rPr>
          <w:rFonts w:ascii="Rockwell" w:hAnsi="Rockwell"/>
          <w:sz w:val="22"/>
          <w:szCs w:val="22"/>
        </w:rPr>
        <w:t>Technology Center</w:t>
      </w:r>
      <w:r>
        <w:rPr>
          <w:rFonts w:ascii="Rockwell" w:hAnsi="Rockwell"/>
          <w:sz w:val="22"/>
          <w:szCs w:val="22"/>
        </w:rPr>
        <w:t xml:space="preserve"> shall provide a reasonable accommodation by providing access to a single-occupancy restroom or changing room.</w:t>
      </w:r>
    </w:p>
    <w:p w14:paraId="1E710C2B" w14:textId="48D6C210" w:rsidR="0087447D" w:rsidRDefault="0087447D" w:rsidP="009D02E5">
      <w:pPr>
        <w:jc w:val="both"/>
        <w:rPr>
          <w:rFonts w:ascii="Rockwell" w:hAnsi="Rockwell"/>
          <w:sz w:val="22"/>
          <w:szCs w:val="22"/>
        </w:rPr>
      </w:pPr>
    </w:p>
    <w:p w14:paraId="7D117FB7" w14:textId="7BE437FE" w:rsidR="00C708F5" w:rsidRDefault="00C708F5" w:rsidP="00C708F5">
      <w:pPr>
        <w:jc w:val="both"/>
        <w:rPr>
          <w:rFonts w:ascii="Rockwell" w:hAnsi="Rockwell"/>
          <w:sz w:val="22"/>
          <w:szCs w:val="22"/>
        </w:rPr>
      </w:pPr>
      <w:r>
        <w:rPr>
          <w:rFonts w:ascii="Rockwell" w:hAnsi="Rockwell"/>
          <w:sz w:val="22"/>
          <w:szCs w:val="22"/>
        </w:rPr>
        <w:t xml:space="preserve">An individual shall be disciplined by the </w:t>
      </w:r>
      <w:r w:rsidR="00901CAD">
        <w:rPr>
          <w:rFonts w:ascii="Rockwell" w:hAnsi="Rockwell"/>
          <w:sz w:val="22"/>
          <w:szCs w:val="22"/>
        </w:rPr>
        <w:t>Technology Center</w:t>
      </w:r>
      <w:r>
        <w:rPr>
          <w:rFonts w:ascii="Rockwell" w:hAnsi="Rockwell"/>
          <w:sz w:val="22"/>
          <w:szCs w:val="22"/>
        </w:rPr>
        <w:t xml:space="preserve"> for refusing to (a) use the appropriate multiple occupancy restroom or changing area designated for their sex as defined herein, (b) designate multiple occupancy restrooms or changing areas for the exclusive use of one sex as defined herein, or (c) provide access to a single-occupancy restroom or changing room to an individual who does not wish to utilize the multiple occupancy restroom or changing area designated for their sex, provided that such individual is authorized to be on </w:t>
      </w:r>
      <w:r w:rsidR="00901CAD">
        <w:rPr>
          <w:rFonts w:ascii="Rockwell" w:hAnsi="Rockwell"/>
          <w:sz w:val="22"/>
          <w:szCs w:val="22"/>
        </w:rPr>
        <w:t xml:space="preserve">Technology Center </w:t>
      </w:r>
      <w:r>
        <w:rPr>
          <w:rFonts w:ascii="Rockwell" w:hAnsi="Rockwell"/>
          <w:sz w:val="22"/>
          <w:szCs w:val="22"/>
        </w:rPr>
        <w:t xml:space="preserve">premises. Students shall be disciplined pursuant to the </w:t>
      </w:r>
      <w:r w:rsidR="00901CAD">
        <w:rPr>
          <w:rFonts w:ascii="Rockwell" w:hAnsi="Rockwell"/>
          <w:sz w:val="22"/>
          <w:szCs w:val="22"/>
        </w:rPr>
        <w:t>Technology Center</w:t>
      </w:r>
      <w:r>
        <w:rPr>
          <w:rFonts w:ascii="Rockwell" w:hAnsi="Rockwell"/>
          <w:sz w:val="22"/>
          <w:szCs w:val="22"/>
        </w:rPr>
        <w:t xml:space="preserve">’s student behavior policy.  Employees shall be disciplined pursuant to the appropriate </w:t>
      </w:r>
      <w:r w:rsidR="00901CAD">
        <w:rPr>
          <w:rFonts w:ascii="Rockwell" w:hAnsi="Rockwell"/>
          <w:sz w:val="22"/>
          <w:szCs w:val="22"/>
        </w:rPr>
        <w:t xml:space="preserve">Technology Center </w:t>
      </w:r>
      <w:r>
        <w:rPr>
          <w:rFonts w:ascii="Rockwell" w:hAnsi="Rockwell"/>
          <w:sz w:val="22"/>
          <w:szCs w:val="22"/>
        </w:rPr>
        <w:t xml:space="preserve">policy and Oklahoma law based on the employee’s position within the </w:t>
      </w:r>
      <w:r w:rsidR="00901CAD">
        <w:rPr>
          <w:rFonts w:ascii="Rockwell" w:hAnsi="Rockwell"/>
          <w:sz w:val="22"/>
          <w:szCs w:val="22"/>
        </w:rPr>
        <w:t>Technology Center</w:t>
      </w:r>
      <w:r>
        <w:rPr>
          <w:rFonts w:ascii="Rockwell" w:hAnsi="Rockwell"/>
          <w:sz w:val="22"/>
          <w:szCs w:val="22"/>
        </w:rPr>
        <w:t xml:space="preserve">.  Other persons on the premises of the </w:t>
      </w:r>
      <w:r w:rsidR="00901CAD">
        <w:rPr>
          <w:rFonts w:ascii="Rockwell" w:hAnsi="Rockwell"/>
          <w:sz w:val="22"/>
          <w:szCs w:val="22"/>
        </w:rPr>
        <w:t xml:space="preserve">Technology Center </w:t>
      </w:r>
      <w:r>
        <w:rPr>
          <w:rFonts w:ascii="Rockwell" w:hAnsi="Rockwell"/>
          <w:sz w:val="22"/>
          <w:szCs w:val="22"/>
        </w:rPr>
        <w:t xml:space="preserve">shall be disciplined pursuant to the appropriate </w:t>
      </w:r>
      <w:r w:rsidR="00901CAD">
        <w:rPr>
          <w:rFonts w:ascii="Rockwell" w:hAnsi="Rockwell"/>
          <w:sz w:val="22"/>
          <w:szCs w:val="22"/>
        </w:rPr>
        <w:t xml:space="preserve">Technology Center </w:t>
      </w:r>
      <w:r>
        <w:rPr>
          <w:rFonts w:ascii="Rockwell" w:hAnsi="Rockwell"/>
          <w:sz w:val="22"/>
          <w:szCs w:val="22"/>
        </w:rPr>
        <w:t>policy and Oklahoma law.</w:t>
      </w:r>
    </w:p>
    <w:p w14:paraId="71DFC364" w14:textId="77777777" w:rsidR="00C708F5" w:rsidRDefault="00C708F5" w:rsidP="009D02E5">
      <w:pPr>
        <w:jc w:val="both"/>
        <w:rPr>
          <w:rFonts w:ascii="Rockwell" w:hAnsi="Rockwell"/>
          <w:sz w:val="22"/>
          <w:szCs w:val="22"/>
        </w:rPr>
      </w:pPr>
    </w:p>
    <w:p w14:paraId="5CB69985" w14:textId="4C9E8B49" w:rsidR="0087447D" w:rsidRDefault="0087447D" w:rsidP="0087447D">
      <w:pPr>
        <w:jc w:val="both"/>
        <w:rPr>
          <w:rFonts w:ascii="Rockwell" w:hAnsi="Rockwell"/>
          <w:sz w:val="22"/>
          <w:szCs w:val="22"/>
        </w:rPr>
      </w:pPr>
      <w:r>
        <w:rPr>
          <w:rFonts w:ascii="Rockwell" w:hAnsi="Rockwell"/>
          <w:sz w:val="22"/>
          <w:szCs w:val="22"/>
        </w:rPr>
        <w:t xml:space="preserve">This policy does not apply to individuals entering the multioccupancy restroom or changing facility designated for the opposite sex under the following circumstances: </w:t>
      </w:r>
    </w:p>
    <w:p w14:paraId="795247DB" w14:textId="7327A87A" w:rsidR="0087447D" w:rsidRDefault="0087447D" w:rsidP="0087447D">
      <w:pPr>
        <w:pStyle w:val="ListParagraph"/>
        <w:numPr>
          <w:ilvl w:val="0"/>
          <w:numId w:val="3"/>
        </w:numPr>
        <w:jc w:val="both"/>
        <w:rPr>
          <w:rFonts w:ascii="Rockwell" w:hAnsi="Rockwell"/>
          <w:sz w:val="22"/>
          <w:szCs w:val="22"/>
        </w:rPr>
      </w:pPr>
      <w:r>
        <w:rPr>
          <w:rFonts w:ascii="Rockwell" w:hAnsi="Rockwell"/>
          <w:sz w:val="22"/>
          <w:szCs w:val="22"/>
        </w:rPr>
        <w:lastRenderedPageBreak/>
        <w:t>For custodial, maintenance, or inspection purposes; or</w:t>
      </w:r>
    </w:p>
    <w:p w14:paraId="53773F83" w14:textId="6ABAEA46" w:rsidR="0087447D" w:rsidRPr="0087447D" w:rsidRDefault="0087447D" w:rsidP="0087447D">
      <w:pPr>
        <w:pStyle w:val="ListParagraph"/>
        <w:numPr>
          <w:ilvl w:val="0"/>
          <w:numId w:val="3"/>
        </w:numPr>
        <w:jc w:val="both"/>
        <w:rPr>
          <w:rFonts w:ascii="Rockwell" w:hAnsi="Rockwell"/>
          <w:sz w:val="22"/>
          <w:szCs w:val="22"/>
        </w:rPr>
      </w:pPr>
      <w:r>
        <w:rPr>
          <w:rFonts w:ascii="Rockwell" w:hAnsi="Rockwell"/>
          <w:sz w:val="22"/>
          <w:szCs w:val="22"/>
        </w:rPr>
        <w:t>To render emergency medical assistance.</w:t>
      </w:r>
    </w:p>
    <w:p w14:paraId="5C1EC350" w14:textId="77777777" w:rsidR="009D02E5" w:rsidRDefault="009D02E5" w:rsidP="009D02E5">
      <w:pPr>
        <w:jc w:val="both"/>
        <w:rPr>
          <w:rFonts w:ascii="Rockwell" w:hAnsi="Rockwell"/>
          <w:sz w:val="22"/>
          <w:szCs w:val="22"/>
        </w:rPr>
      </w:pPr>
    </w:p>
    <w:p w14:paraId="40CC2BA2" w14:textId="77777777" w:rsidR="009D02E5" w:rsidRDefault="009D02E5" w:rsidP="009D02E5">
      <w:pPr>
        <w:jc w:val="both"/>
        <w:rPr>
          <w:rFonts w:ascii="Rockwell" w:hAnsi="Rockwell"/>
          <w:sz w:val="22"/>
          <w:szCs w:val="22"/>
        </w:rPr>
      </w:pPr>
    </w:p>
    <w:p w14:paraId="73B2C0A9" w14:textId="66C8C403" w:rsidR="009D02E5" w:rsidRPr="004F0654" w:rsidRDefault="009D02E5" w:rsidP="009D02E5">
      <w:pPr>
        <w:jc w:val="both"/>
        <w:rPr>
          <w:rFonts w:ascii="Rockwell" w:hAnsi="Rockwell"/>
          <w:b/>
          <w:bCs/>
          <w:sz w:val="22"/>
          <w:szCs w:val="22"/>
        </w:rPr>
      </w:pPr>
      <w:r w:rsidRPr="00556BB3">
        <w:rPr>
          <w:rFonts w:ascii="Rockwell" w:hAnsi="Rockwell"/>
          <w:sz w:val="22"/>
          <w:szCs w:val="22"/>
        </w:rPr>
        <w:t xml:space="preserve">Reference:  </w:t>
      </w:r>
      <w:r w:rsidRPr="00556BB3">
        <w:rPr>
          <w:rFonts w:ascii="Rockwell" w:hAnsi="Rockwell"/>
          <w:smallCaps/>
          <w:sz w:val="22"/>
          <w:szCs w:val="22"/>
        </w:rPr>
        <w:t>Okla. Stat</w:t>
      </w:r>
      <w:r w:rsidRPr="00556BB3">
        <w:rPr>
          <w:rFonts w:ascii="Rockwell" w:hAnsi="Rockwell"/>
          <w:sz w:val="22"/>
          <w:szCs w:val="22"/>
        </w:rPr>
        <w:t xml:space="preserve">. tit. 70 </w:t>
      </w:r>
      <w:r w:rsidR="008A029A">
        <w:rPr>
          <w:rFonts w:ascii="Rockwell" w:hAnsi="Rockwell"/>
          <w:sz w:val="22"/>
          <w:szCs w:val="22"/>
        </w:rPr>
        <w:t>§ 1-125</w:t>
      </w:r>
    </w:p>
    <w:p w14:paraId="220963A9" w14:textId="77777777" w:rsidR="00C708F5" w:rsidRDefault="00C708F5" w:rsidP="00C708F5">
      <w:pPr>
        <w:rPr>
          <w:rFonts w:ascii="Rockwell" w:hAnsi="Rockwell"/>
          <w:sz w:val="22"/>
          <w:szCs w:val="22"/>
        </w:rPr>
      </w:pPr>
      <w:r>
        <w:rPr>
          <w:rFonts w:ascii="Rockwell" w:hAnsi="Rockwell"/>
          <w:sz w:val="22"/>
          <w:szCs w:val="22"/>
        </w:rPr>
        <w:t>SBOE Emergency Rule:  OKLA. ADMIN. CODE § 210: 35-3-186</w:t>
      </w:r>
    </w:p>
    <w:p w14:paraId="2B96194B" w14:textId="77777777" w:rsidR="009D02E5" w:rsidRDefault="009D02E5" w:rsidP="009D02E5"/>
    <w:p w14:paraId="4662DDDE" w14:textId="77777777" w:rsidR="008D64DE" w:rsidRDefault="008D64DE"/>
    <w:sectPr w:rsidR="008D6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C0E"/>
    <w:multiLevelType w:val="hybridMultilevel"/>
    <w:tmpl w:val="5B320158"/>
    <w:lvl w:ilvl="0" w:tplc="B672D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0D6D3F"/>
    <w:multiLevelType w:val="hybridMultilevel"/>
    <w:tmpl w:val="52BEA0C6"/>
    <w:lvl w:ilvl="0" w:tplc="E1FE4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FA5B0E"/>
    <w:multiLevelType w:val="hybridMultilevel"/>
    <w:tmpl w:val="79E60C32"/>
    <w:lvl w:ilvl="0" w:tplc="D9F04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E5"/>
    <w:rsid w:val="00096323"/>
    <w:rsid w:val="00193C6C"/>
    <w:rsid w:val="0022777A"/>
    <w:rsid w:val="0035204F"/>
    <w:rsid w:val="00397C01"/>
    <w:rsid w:val="003F1F06"/>
    <w:rsid w:val="00497F48"/>
    <w:rsid w:val="005300FB"/>
    <w:rsid w:val="00543E53"/>
    <w:rsid w:val="0065760C"/>
    <w:rsid w:val="008151F8"/>
    <w:rsid w:val="008468C5"/>
    <w:rsid w:val="0087447D"/>
    <w:rsid w:val="008A029A"/>
    <w:rsid w:val="008D64DE"/>
    <w:rsid w:val="00901CAD"/>
    <w:rsid w:val="0095732A"/>
    <w:rsid w:val="009D02E5"/>
    <w:rsid w:val="00A30078"/>
    <w:rsid w:val="00BA32D6"/>
    <w:rsid w:val="00BD279D"/>
    <w:rsid w:val="00C42E93"/>
    <w:rsid w:val="00C708F5"/>
    <w:rsid w:val="00CB4B1E"/>
    <w:rsid w:val="00D15689"/>
    <w:rsid w:val="00E23EA1"/>
    <w:rsid w:val="00E86523"/>
    <w:rsid w:val="00F1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7ADA"/>
  <w15:chartTrackingRefBased/>
  <w15:docId w15:val="{E0827874-FB34-4F69-8C81-FC4AF070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2E5"/>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2E5"/>
    <w:pPr>
      <w:ind w:left="720"/>
      <w:contextualSpacing/>
    </w:pPr>
  </w:style>
  <w:style w:type="paragraph" w:styleId="Revision">
    <w:name w:val="Revision"/>
    <w:hidden/>
    <w:uiPriority w:val="99"/>
    <w:semiHidden/>
    <w:rsid w:val="00D156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46983">
      <w:bodyDiv w:val="1"/>
      <w:marLeft w:val="0"/>
      <w:marRight w:val="0"/>
      <w:marTop w:val="0"/>
      <w:marBottom w:val="0"/>
      <w:divBdr>
        <w:top w:val="none" w:sz="0" w:space="0" w:color="auto"/>
        <w:left w:val="none" w:sz="0" w:space="0" w:color="auto"/>
        <w:bottom w:val="none" w:sz="0" w:space="0" w:color="auto"/>
        <w:right w:val="none" w:sz="0" w:space="0" w:color="auto"/>
      </w:divBdr>
    </w:div>
    <w:div w:id="713962810">
      <w:bodyDiv w:val="1"/>
      <w:marLeft w:val="0"/>
      <w:marRight w:val="0"/>
      <w:marTop w:val="0"/>
      <w:marBottom w:val="0"/>
      <w:divBdr>
        <w:top w:val="none" w:sz="0" w:space="0" w:color="auto"/>
        <w:left w:val="none" w:sz="0" w:space="0" w:color="auto"/>
        <w:bottom w:val="none" w:sz="0" w:space="0" w:color="auto"/>
        <w:right w:val="none" w:sz="0" w:space="0" w:color="auto"/>
      </w:divBdr>
    </w:div>
    <w:div w:id="879826505">
      <w:bodyDiv w:val="1"/>
      <w:marLeft w:val="0"/>
      <w:marRight w:val="0"/>
      <w:marTop w:val="0"/>
      <w:marBottom w:val="0"/>
      <w:divBdr>
        <w:top w:val="none" w:sz="0" w:space="0" w:color="auto"/>
        <w:left w:val="none" w:sz="0" w:space="0" w:color="auto"/>
        <w:bottom w:val="none" w:sz="0" w:space="0" w:color="auto"/>
        <w:right w:val="none" w:sz="0" w:space="0" w:color="auto"/>
      </w:divBdr>
    </w:div>
    <w:div w:id="9904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46F5CFB44B747BAEA6FCB69BDB36A" ma:contentTypeVersion="13" ma:contentTypeDescription="Create a new document." ma:contentTypeScope="" ma:versionID="0bde2fe7575665d51779a05d68635af5">
  <xsd:schema xmlns:xsd="http://www.w3.org/2001/XMLSchema" xmlns:xs="http://www.w3.org/2001/XMLSchema" xmlns:p="http://schemas.microsoft.com/office/2006/metadata/properties" xmlns:ns3="522e9b5f-ec45-4530-b02f-ece95ba81f4f" xmlns:ns4="96987d91-baeb-4775-86fe-4dafb4158e7d" targetNamespace="http://schemas.microsoft.com/office/2006/metadata/properties" ma:root="true" ma:fieldsID="3c77111179d81e2a92307374de36df47" ns3:_="" ns4:_="">
    <xsd:import namespace="522e9b5f-ec45-4530-b02f-ece95ba81f4f"/>
    <xsd:import namespace="96987d91-baeb-4775-86fe-4dafb4158e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e9b5f-ec45-4530-b02f-ece95ba81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87d91-baeb-4775-86fe-4dafb4158e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04FEC-9FD7-4774-B260-AAEC56E30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e9b5f-ec45-4530-b02f-ece95ba81f4f"/>
    <ds:schemaRef ds:uri="96987d91-baeb-4775-86fe-4dafb4158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CCCC0-E046-42EC-A349-161089B61263}">
  <ds:schemaRefs>
    <ds:schemaRef ds:uri="http://schemas.microsoft.com/sharepoint/v3/contenttype/forms"/>
  </ds:schemaRefs>
</ds:datastoreItem>
</file>

<file path=customXml/itemProps3.xml><?xml version="1.0" encoding="utf-8"?>
<ds:datastoreItem xmlns:ds="http://schemas.openxmlformats.org/officeDocument/2006/customXml" ds:itemID="{BE14ED1E-747F-4366-8145-0FA7C9A0B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Verret</dc:creator>
  <cp:keywords/>
  <dc:description/>
  <cp:lastModifiedBy>Valerie Anderson</cp:lastModifiedBy>
  <cp:revision>4</cp:revision>
  <dcterms:created xsi:type="dcterms:W3CDTF">2022-10-07T13:25:00Z</dcterms:created>
  <dcterms:modified xsi:type="dcterms:W3CDTF">2022-10-07T13:26:00Z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0x010100BFA46F5CFB44B747BAEA6FCB69BDB36A</vt:lpwstr>
  </property>
</Properties>
</file>