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bookmarkStart w:id="0" w:name="_GoBack"/>
      <w:bookmarkEnd w:id="0"/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To:</w:t>
      </w:r>
      <w:r w:rsidRPr="00C44581">
        <w:rPr>
          <w:sz w:val="24"/>
          <w:szCs w:val="24"/>
        </w:rPr>
        <w:t xml:space="preserve"> </w:t>
      </w:r>
      <w:r w:rsidRPr="00C44581">
        <w:rPr>
          <w:sz w:val="24"/>
          <w:szCs w:val="24"/>
        </w:rPr>
        <w:tab/>
      </w:r>
      <w:r w:rsidRPr="00C44581">
        <w:rPr>
          <w:sz w:val="24"/>
          <w:szCs w:val="24"/>
        </w:rPr>
        <w:tab/>
        <w:t>Dr. Douglas Howell, Superintendent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B52">
        <w:rPr>
          <w:sz w:val="24"/>
          <w:szCs w:val="24"/>
        </w:rPr>
        <w:t>Jonathan R. Balls</w:t>
      </w:r>
      <w:r>
        <w:rPr>
          <w:sz w:val="24"/>
          <w:szCs w:val="24"/>
        </w:rPr>
        <w:t>, Director of Business Operations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A7E">
        <w:rPr>
          <w:sz w:val="24"/>
          <w:szCs w:val="24"/>
        </w:rPr>
        <w:t>August</w:t>
      </w:r>
      <w:r w:rsidR="00AC0D95">
        <w:rPr>
          <w:sz w:val="24"/>
          <w:szCs w:val="24"/>
        </w:rPr>
        <w:t xml:space="preserve"> 1</w:t>
      </w:r>
      <w:r w:rsidR="00257A7E">
        <w:rPr>
          <w:sz w:val="24"/>
          <w:szCs w:val="24"/>
        </w:rPr>
        <w:t>6</w:t>
      </w:r>
      <w:r w:rsidR="00B47B52">
        <w:rPr>
          <w:sz w:val="24"/>
          <w:szCs w:val="24"/>
        </w:rPr>
        <w:t>, 2022</w:t>
      </w:r>
    </w:p>
    <w:p w:rsidR="00C44581" w:rsidRDefault="00C44581" w:rsidP="00C44581">
      <w:pPr>
        <w:rPr>
          <w:sz w:val="24"/>
          <w:szCs w:val="24"/>
        </w:rPr>
      </w:pPr>
    </w:p>
    <w:p w:rsidR="00C44581" w:rsidRPr="00C44581" w:rsidRDefault="00C44581" w:rsidP="00C44581">
      <w:pPr>
        <w:rPr>
          <w:b/>
          <w:sz w:val="24"/>
          <w:szCs w:val="24"/>
        </w:rPr>
      </w:pPr>
      <w:r w:rsidRPr="00C44581">
        <w:rPr>
          <w:b/>
          <w:sz w:val="24"/>
          <w:szCs w:val="24"/>
        </w:rPr>
        <w:t xml:space="preserve">RE: </w:t>
      </w:r>
      <w:r w:rsidRPr="00C44581">
        <w:rPr>
          <w:b/>
          <w:sz w:val="24"/>
          <w:szCs w:val="24"/>
        </w:rPr>
        <w:tab/>
      </w:r>
      <w:r w:rsidRPr="00C44581">
        <w:rPr>
          <w:b/>
          <w:sz w:val="24"/>
          <w:szCs w:val="24"/>
        </w:rPr>
        <w:tab/>
      </w:r>
      <w:r w:rsidR="00257A7E">
        <w:rPr>
          <w:b/>
        </w:rPr>
        <w:t>Custodial Services – Various District Locations</w:t>
      </w:r>
    </w:p>
    <w:p w:rsidR="00C44581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Default="00C44581" w:rsidP="00C44581">
      <w:pPr>
        <w:jc w:val="both"/>
        <w:rPr>
          <w:sz w:val="24"/>
          <w:szCs w:val="24"/>
        </w:rPr>
      </w:pPr>
    </w:p>
    <w:p w:rsidR="0034270D" w:rsidRDefault="0034270D" w:rsidP="00C44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257A7E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257A7E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B47B52">
        <w:rPr>
          <w:sz w:val="24"/>
          <w:szCs w:val="24"/>
        </w:rPr>
        <w:t>2</w:t>
      </w:r>
      <w:r>
        <w:rPr>
          <w:sz w:val="24"/>
          <w:szCs w:val="24"/>
        </w:rPr>
        <w:t>, bids were opened for</w:t>
      </w:r>
      <w:r w:rsidR="00257A7E">
        <w:rPr>
          <w:sz w:val="24"/>
          <w:szCs w:val="24"/>
        </w:rPr>
        <w:t xml:space="preserve"> Custodial Services at Various District Locations</w:t>
      </w:r>
      <w:r>
        <w:rPr>
          <w:sz w:val="24"/>
          <w:szCs w:val="24"/>
        </w:rPr>
        <w:t xml:space="preserve">. </w:t>
      </w:r>
      <w:r w:rsidR="00257A7E">
        <w:rPr>
          <w:sz w:val="24"/>
          <w:szCs w:val="24"/>
        </w:rPr>
        <w:t>Six</w:t>
      </w:r>
      <w:r>
        <w:rPr>
          <w:sz w:val="24"/>
          <w:szCs w:val="24"/>
        </w:rPr>
        <w:t xml:space="preserve"> (</w:t>
      </w:r>
      <w:r w:rsidR="00257A7E">
        <w:rPr>
          <w:sz w:val="24"/>
          <w:szCs w:val="24"/>
        </w:rPr>
        <w:t>6</w:t>
      </w:r>
      <w:r>
        <w:rPr>
          <w:sz w:val="24"/>
          <w:szCs w:val="24"/>
        </w:rPr>
        <w:t xml:space="preserve">) vendors </w:t>
      </w:r>
      <w:proofErr w:type="gramStart"/>
      <w:r>
        <w:rPr>
          <w:sz w:val="24"/>
          <w:szCs w:val="24"/>
        </w:rPr>
        <w:t>were invited</w:t>
      </w:r>
      <w:proofErr w:type="gramEnd"/>
      <w:r>
        <w:rPr>
          <w:sz w:val="24"/>
          <w:szCs w:val="24"/>
        </w:rPr>
        <w:t xml:space="preserve"> to bid. </w:t>
      </w:r>
      <w:r w:rsidR="001C0250">
        <w:rPr>
          <w:sz w:val="24"/>
          <w:szCs w:val="24"/>
        </w:rPr>
        <w:t xml:space="preserve"> Two</w:t>
      </w:r>
      <w:r w:rsidR="00A031FF">
        <w:rPr>
          <w:sz w:val="24"/>
          <w:szCs w:val="24"/>
        </w:rPr>
        <w:t xml:space="preserve"> (2</w:t>
      </w:r>
      <w:r w:rsidR="000B4270">
        <w:rPr>
          <w:sz w:val="24"/>
          <w:szCs w:val="24"/>
        </w:rPr>
        <w:t>) bid</w:t>
      </w:r>
      <w:r w:rsidR="00A031FF">
        <w:rPr>
          <w:sz w:val="24"/>
          <w:szCs w:val="24"/>
        </w:rPr>
        <w:t>s</w:t>
      </w:r>
      <w:r w:rsidR="000B4270">
        <w:rPr>
          <w:sz w:val="24"/>
          <w:szCs w:val="24"/>
        </w:rPr>
        <w:t xml:space="preserve"> </w:t>
      </w:r>
      <w:proofErr w:type="gramStart"/>
      <w:r w:rsidR="001C0250">
        <w:rPr>
          <w:sz w:val="24"/>
          <w:szCs w:val="24"/>
        </w:rPr>
        <w:t>were</w:t>
      </w:r>
      <w:r w:rsidR="000B4270">
        <w:rPr>
          <w:sz w:val="24"/>
          <w:szCs w:val="24"/>
        </w:rPr>
        <w:t xml:space="preserve"> disqualified</w:t>
      </w:r>
      <w:proofErr w:type="gramEnd"/>
      <w:r w:rsidR="001C0250">
        <w:rPr>
          <w:sz w:val="24"/>
          <w:szCs w:val="24"/>
        </w:rPr>
        <w:t xml:space="preserve">.  One (1) bid </w:t>
      </w:r>
      <w:proofErr w:type="gramStart"/>
      <w:r w:rsidR="001C0250">
        <w:rPr>
          <w:sz w:val="24"/>
          <w:szCs w:val="24"/>
        </w:rPr>
        <w:t>was received</w:t>
      </w:r>
      <w:proofErr w:type="gramEnd"/>
      <w:r w:rsidR="001C0250">
        <w:rPr>
          <w:sz w:val="24"/>
          <w:szCs w:val="24"/>
        </w:rPr>
        <w:t xml:space="preserve"> after the bid opening time and one (1) bid failed to comply with bid specifications. </w:t>
      </w:r>
      <w:r w:rsidR="000B4270">
        <w:rPr>
          <w:sz w:val="24"/>
          <w:szCs w:val="24"/>
        </w:rPr>
        <w:t xml:space="preserve"> Qualified b</w:t>
      </w:r>
      <w:r>
        <w:rPr>
          <w:sz w:val="24"/>
          <w:szCs w:val="24"/>
        </w:rPr>
        <w:t>id</w:t>
      </w:r>
      <w:r w:rsidR="00257A7E">
        <w:rPr>
          <w:sz w:val="24"/>
          <w:szCs w:val="24"/>
        </w:rPr>
        <w:t xml:space="preserve">s </w:t>
      </w:r>
      <w:proofErr w:type="gramStart"/>
      <w:r w:rsidR="00257A7E">
        <w:rPr>
          <w:sz w:val="24"/>
          <w:szCs w:val="24"/>
        </w:rPr>
        <w:t>were received</w:t>
      </w:r>
      <w:proofErr w:type="gramEnd"/>
      <w:r w:rsidR="00257A7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7846D7">
        <w:rPr>
          <w:sz w:val="24"/>
          <w:szCs w:val="24"/>
        </w:rPr>
        <w:t xml:space="preserve"> </w:t>
      </w:r>
      <w:r w:rsidR="000B4270">
        <w:rPr>
          <w:sz w:val="24"/>
          <w:szCs w:val="24"/>
        </w:rPr>
        <w:t xml:space="preserve">four </w:t>
      </w:r>
      <w:r w:rsidR="007846D7">
        <w:rPr>
          <w:sz w:val="24"/>
          <w:szCs w:val="24"/>
        </w:rPr>
        <w:t>(</w:t>
      </w:r>
      <w:r w:rsidR="000B4270">
        <w:rPr>
          <w:sz w:val="24"/>
          <w:szCs w:val="24"/>
        </w:rPr>
        <w:t>4</w:t>
      </w:r>
      <w:r w:rsidR="007846D7">
        <w:rPr>
          <w:sz w:val="24"/>
          <w:szCs w:val="24"/>
        </w:rPr>
        <w:t xml:space="preserve">) </w:t>
      </w:r>
      <w:r>
        <w:rPr>
          <w:sz w:val="24"/>
          <w:szCs w:val="24"/>
        </w:rPr>
        <w:t>vendor</w:t>
      </w:r>
      <w:r w:rsidR="00257A7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A1012">
        <w:rPr>
          <w:sz w:val="24"/>
          <w:szCs w:val="24"/>
        </w:rPr>
        <w:t xml:space="preserve">as shown </w:t>
      </w:r>
      <w:r>
        <w:rPr>
          <w:sz w:val="24"/>
          <w:szCs w:val="24"/>
        </w:rPr>
        <w:t xml:space="preserve">below. </w:t>
      </w:r>
      <w:r w:rsidR="00681578">
        <w:rPr>
          <w:sz w:val="24"/>
          <w:szCs w:val="24"/>
        </w:rPr>
        <w:t xml:space="preserve"> </w:t>
      </w:r>
    </w:p>
    <w:p w:rsidR="00A031FF" w:rsidRDefault="00A031FF" w:rsidP="00C44581">
      <w:pPr>
        <w:jc w:val="both"/>
        <w:rPr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682"/>
        <w:gridCol w:w="1611"/>
        <w:gridCol w:w="1611"/>
        <w:gridCol w:w="1463"/>
      </w:tblGrid>
      <w:tr w:rsidR="00A375FA" w:rsidRPr="00C22748" w:rsidTr="00A375FA">
        <w:trPr>
          <w:trHeight w:val="458"/>
          <w:jc w:val="center"/>
        </w:trPr>
        <w:tc>
          <w:tcPr>
            <w:tcW w:w="3235" w:type="dxa"/>
            <w:shd w:val="clear" w:color="auto" w:fill="auto"/>
            <w:vAlign w:val="bottom"/>
          </w:tcPr>
          <w:p w:rsidR="000B4270" w:rsidRDefault="000B4270" w:rsidP="00590E29">
            <w:pPr>
              <w:jc w:val="center"/>
              <w:rPr>
                <w:b/>
                <w:sz w:val="24"/>
                <w:szCs w:val="24"/>
              </w:rPr>
            </w:pPr>
          </w:p>
          <w:p w:rsidR="000B4270" w:rsidRPr="0034270D" w:rsidRDefault="000B4270" w:rsidP="00590E29">
            <w:pPr>
              <w:jc w:val="center"/>
              <w:rPr>
                <w:b/>
                <w:sz w:val="24"/>
                <w:szCs w:val="24"/>
              </w:rPr>
            </w:pPr>
            <w:r w:rsidRPr="0034270D">
              <w:rPr>
                <w:b/>
                <w:sz w:val="24"/>
                <w:szCs w:val="24"/>
              </w:rPr>
              <w:t>Contractor</w:t>
            </w:r>
          </w:p>
          <w:p w:rsidR="000B4270" w:rsidRPr="0034270D" w:rsidRDefault="000B4270" w:rsidP="00590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:rsidR="000B4270" w:rsidRDefault="00A375FA" w:rsidP="00590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KBS, LLC</w:t>
            </w:r>
          </w:p>
          <w:p w:rsidR="00A375FA" w:rsidRPr="0034270D" w:rsidRDefault="00A375FA" w:rsidP="00590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Oceanside, CA</w:t>
            </w:r>
          </w:p>
          <w:p w:rsidR="000B4270" w:rsidRPr="0034270D" w:rsidRDefault="000B4270" w:rsidP="00590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A375FA" w:rsidRDefault="00A375FA" w:rsidP="00A375FA">
            <w:pPr>
              <w:jc w:val="center"/>
              <w:rPr>
                <w:b/>
                <w:sz w:val="24"/>
                <w:szCs w:val="24"/>
              </w:rPr>
            </w:pPr>
          </w:p>
          <w:p w:rsidR="000B4270" w:rsidRPr="0034270D" w:rsidRDefault="00A375FA" w:rsidP="00A375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Nucleane</w:t>
            </w:r>
            <w:proofErr w:type="spellEnd"/>
            <w:r>
              <w:rPr>
                <w:b/>
                <w:sz w:val="24"/>
                <w:szCs w:val="24"/>
              </w:rPr>
              <w:t xml:space="preserve">, LLC        Pocatello, ID                </w:t>
            </w:r>
          </w:p>
        </w:tc>
        <w:tc>
          <w:tcPr>
            <w:tcW w:w="1468" w:type="dxa"/>
          </w:tcPr>
          <w:p w:rsidR="000B4270" w:rsidRPr="0034270D" w:rsidRDefault="00A375FA" w:rsidP="00590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Garson Group         </w:t>
            </w:r>
            <w:proofErr w:type="spellStart"/>
            <w:r>
              <w:rPr>
                <w:b/>
                <w:sz w:val="24"/>
                <w:szCs w:val="24"/>
              </w:rPr>
              <w:t>Champlin</w:t>
            </w:r>
            <w:proofErr w:type="spellEnd"/>
            <w:r>
              <w:rPr>
                <w:b/>
                <w:sz w:val="24"/>
                <w:szCs w:val="24"/>
              </w:rPr>
              <w:t>, MN</w:t>
            </w:r>
          </w:p>
        </w:tc>
        <w:tc>
          <w:tcPr>
            <w:tcW w:w="1468" w:type="dxa"/>
            <w:shd w:val="clear" w:color="auto" w:fill="FFFF00"/>
          </w:tcPr>
          <w:p w:rsidR="000B4270" w:rsidRPr="0034270D" w:rsidRDefault="00A375FA" w:rsidP="00590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 Owl Janitorial              Pocatello, ID</w:t>
            </w:r>
          </w:p>
        </w:tc>
      </w:tr>
      <w:tr w:rsidR="00A375FA" w:rsidRPr="00C22748" w:rsidTr="00A375FA">
        <w:trPr>
          <w:trHeight w:val="35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0B4270" w:rsidRDefault="000B4270" w:rsidP="00590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Term: </w:t>
            </w:r>
          </w:p>
          <w:p w:rsidR="000B4270" w:rsidRPr="0034270D" w:rsidRDefault="000B4270" w:rsidP="00257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1, 2022 thru June 30, 2023</w:t>
            </w:r>
          </w:p>
        </w:tc>
        <w:tc>
          <w:tcPr>
            <w:tcW w:w="1692" w:type="dxa"/>
            <w:shd w:val="clear" w:color="auto" w:fill="auto"/>
          </w:tcPr>
          <w:p w:rsidR="000B4270" w:rsidRPr="007846D7" w:rsidRDefault="000B4270" w:rsidP="00257A7E">
            <w:pPr>
              <w:jc w:val="center"/>
              <w:rPr>
                <w:sz w:val="24"/>
                <w:szCs w:val="24"/>
              </w:rPr>
            </w:pPr>
            <w:r w:rsidRPr="00EC0E83">
              <w:rPr>
                <w:b/>
                <w:sz w:val="24"/>
                <w:szCs w:val="24"/>
              </w:rPr>
              <w:t>$</w:t>
            </w:r>
            <w:r w:rsidR="00A375FA">
              <w:rPr>
                <w:b/>
                <w:sz w:val="24"/>
                <w:szCs w:val="24"/>
              </w:rPr>
              <w:t>706,633.92</w:t>
            </w:r>
          </w:p>
        </w:tc>
        <w:tc>
          <w:tcPr>
            <w:tcW w:w="1487" w:type="dxa"/>
            <w:shd w:val="clear" w:color="auto" w:fill="auto"/>
          </w:tcPr>
          <w:p w:rsidR="000B4270" w:rsidRPr="00EC0E83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$1,050,000.00</w:t>
            </w:r>
          </w:p>
        </w:tc>
        <w:tc>
          <w:tcPr>
            <w:tcW w:w="1468" w:type="dxa"/>
          </w:tcPr>
          <w:p w:rsidR="000B4270" w:rsidRPr="00EC0E83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$1,192,320.00</w:t>
            </w:r>
          </w:p>
        </w:tc>
        <w:tc>
          <w:tcPr>
            <w:tcW w:w="1468" w:type="dxa"/>
            <w:shd w:val="clear" w:color="auto" w:fill="FFFF00"/>
          </w:tcPr>
          <w:p w:rsidR="000B4270" w:rsidRPr="00EC0E83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$704,835.00</w:t>
            </w:r>
          </w:p>
        </w:tc>
      </w:tr>
      <w:tr w:rsidR="00A375FA" w:rsidRPr="00C22748" w:rsidTr="00A375FA">
        <w:trPr>
          <w:trHeight w:val="35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0B4270" w:rsidRDefault="000B4270" w:rsidP="00257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Term: </w:t>
            </w:r>
          </w:p>
          <w:p w:rsidR="000B4270" w:rsidRDefault="000B4270" w:rsidP="00257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1, 2023 thru June 30, 2024</w:t>
            </w:r>
          </w:p>
        </w:tc>
        <w:tc>
          <w:tcPr>
            <w:tcW w:w="1692" w:type="dxa"/>
            <w:shd w:val="clear" w:color="auto" w:fill="auto"/>
          </w:tcPr>
          <w:p w:rsidR="000B4270" w:rsidRPr="00EC0E83" w:rsidRDefault="000B4270" w:rsidP="00257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A375FA">
              <w:rPr>
                <w:b/>
                <w:sz w:val="24"/>
                <w:szCs w:val="24"/>
              </w:rPr>
              <w:t>989,287.47</w:t>
            </w:r>
          </w:p>
        </w:tc>
        <w:tc>
          <w:tcPr>
            <w:tcW w:w="1487" w:type="dxa"/>
            <w:shd w:val="clear" w:color="auto" w:fill="auto"/>
          </w:tcPr>
          <w:p w:rsidR="000B4270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$1,359,000.00</w:t>
            </w:r>
          </w:p>
        </w:tc>
        <w:tc>
          <w:tcPr>
            <w:tcW w:w="1468" w:type="dxa"/>
          </w:tcPr>
          <w:p w:rsidR="000B4270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$1,589,760.00</w:t>
            </w:r>
          </w:p>
        </w:tc>
        <w:tc>
          <w:tcPr>
            <w:tcW w:w="1468" w:type="dxa"/>
            <w:shd w:val="clear" w:color="auto" w:fill="FFFF00"/>
          </w:tcPr>
          <w:p w:rsidR="000B4270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$939,780.00</w:t>
            </w:r>
          </w:p>
        </w:tc>
      </w:tr>
      <w:tr w:rsidR="00A375FA" w:rsidRPr="00C22748" w:rsidTr="00A375FA">
        <w:trPr>
          <w:trHeight w:val="35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0B4270" w:rsidRDefault="000B4270" w:rsidP="00257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Term: </w:t>
            </w:r>
          </w:p>
          <w:p w:rsidR="000B4270" w:rsidRDefault="000B4270" w:rsidP="00257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1, 2024 thru June 30, 2025</w:t>
            </w:r>
          </w:p>
        </w:tc>
        <w:tc>
          <w:tcPr>
            <w:tcW w:w="1692" w:type="dxa"/>
            <w:shd w:val="clear" w:color="auto" w:fill="auto"/>
          </w:tcPr>
          <w:p w:rsidR="000B4270" w:rsidRPr="00EC0E83" w:rsidRDefault="000B4270" w:rsidP="00257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A375FA">
              <w:rPr>
                <w:b/>
                <w:sz w:val="24"/>
                <w:szCs w:val="24"/>
              </w:rPr>
              <w:t>1,018,966.09</w:t>
            </w:r>
          </w:p>
        </w:tc>
        <w:tc>
          <w:tcPr>
            <w:tcW w:w="1487" w:type="dxa"/>
            <w:shd w:val="clear" w:color="auto" w:fill="auto"/>
          </w:tcPr>
          <w:p w:rsidR="000B4270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$1,468,000.00</w:t>
            </w:r>
          </w:p>
        </w:tc>
        <w:tc>
          <w:tcPr>
            <w:tcW w:w="1468" w:type="dxa"/>
          </w:tcPr>
          <w:p w:rsidR="000B4270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$1,689,760.00</w:t>
            </w:r>
          </w:p>
        </w:tc>
        <w:tc>
          <w:tcPr>
            <w:tcW w:w="1468" w:type="dxa"/>
            <w:shd w:val="clear" w:color="auto" w:fill="FFFF00"/>
          </w:tcPr>
          <w:p w:rsidR="000B4270" w:rsidRDefault="00A375FA" w:rsidP="002B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$939,780.00</w:t>
            </w:r>
          </w:p>
        </w:tc>
      </w:tr>
    </w:tbl>
    <w:p w:rsidR="0034270D" w:rsidRDefault="0034270D" w:rsidP="00C44581">
      <w:pPr>
        <w:jc w:val="both"/>
        <w:rPr>
          <w:sz w:val="24"/>
          <w:szCs w:val="24"/>
        </w:rPr>
      </w:pPr>
    </w:p>
    <w:p w:rsidR="000761C3" w:rsidRDefault="000761C3" w:rsidP="00DC0CAC">
      <w:pPr>
        <w:rPr>
          <w:b/>
        </w:rPr>
      </w:pPr>
    </w:p>
    <w:p w:rsidR="00DC0CAC" w:rsidRPr="0034270D" w:rsidRDefault="00DC0CAC" w:rsidP="00DC0CAC">
      <w:pPr>
        <w:rPr>
          <w:sz w:val="24"/>
          <w:szCs w:val="24"/>
        </w:rPr>
      </w:pPr>
      <w:r w:rsidRPr="0034270D">
        <w:rPr>
          <w:b/>
          <w:sz w:val="24"/>
          <w:szCs w:val="24"/>
        </w:rPr>
        <w:t>Board Action Requested:</w:t>
      </w:r>
      <w:r w:rsidRPr="0034270D">
        <w:rPr>
          <w:bCs/>
          <w:sz w:val="24"/>
          <w:szCs w:val="24"/>
        </w:rPr>
        <w:t xml:space="preserve">  </w:t>
      </w:r>
      <w:r w:rsidR="0034270D">
        <w:rPr>
          <w:bCs/>
          <w:sz w:val="24"/>
          <w:szCs w:val="24"/>
        </w:rPr>
        <w:t xml:space="preserve">Motion to award </w:t>
      </w:r>
      <w:r w:rsidR="00257A7E">
        <w:rPr>
          <w:bCs/>
          <w:sz w:val="24"/>
          <w:szCs w:val="24"/>
        </w:rPr>
        <w:t>Custodial Services</w:t>
      </w:r>
      <w:r w:rsidR="00E47DE5">
        <w:rPr>
          <w:bCs/>
          <w:sz w:val="24"/>
          <w:szCs w:val="24"/>
        </w:rPr>
        <w:t xml:space="preserve">, to provide cleaning services for the secondary schools, </w:t>
      </w:r>
      <w:r w:rsidR="00EC0E83">
        <w:rPr>
          <w:bCs/>
          <w:sz w:val="24"/>
          <w:szCs w:val="24"/>
        </w:rPr>
        <w:t xml:space="preserve">to </w:t>
      </w:r>
      <w:r w:rsidR="00A375FA">
        <w:rPr>
          <w:bCs/>
          <w:sz w:val="24"/>
          <w:szCs w:val="24"/>
        </w:rPr>
        <w:t xml:space="preserve">Night Owl Janitorial. </w:t>
      </w:r>
      <w:r w:rsidR="002B6CFD">
        <w:rPr>
          <w:bCs/>
          <w:sz w:val="24"/>
          <w:szCs w:val="24"/>
        </w:rPr>
        <w:t xml:space="preserve"> </w:t>
      </w:r>
      <w:r w:rsidR="0034270D">
        <w:rPr>
          <w:bCs/>
          <w:sz w:val="24"/>
          <w:szCs w:val="24"/>
        </w:rPr>
        <w:t xml:space="preserve">The bid award </w:t>
      </w:r>
      <w:r w:rsidR="00257A7E">
        <w:rPr>
          <w:bCs/>
          <w:sz w:val="24"/>
          <w:szCs w:val="24"/>
        </w:rPr>
        <w:t>represents the lowest qualified bid</w:t>
      </w:r>
      <w:r w:rsidR="002B6CFD">
        <w:rPr>
          <w:bCs/>
          <w:sz w:val="24"/>
          <w:szCs w:val="24"/>
        </w:rPr>
        <w:t>.</w:t>
      </w:r>
    </w:p>
    <w:p w:rsidR="00C44581" w:rsidRPr="00C44581" w:rsidRDefault="00C44581" w:rsidP="00DC0CAC">
      <w:pPr>
        <w:jc w:val="both"/>
        <w:rPr>
          <w:sz w:val="24"/>
          <w:szCs w:val="24"/>
        </w:rPr>
      </w:pPr>
    </w:p>
    <w:sectPr w:rsidR="00C44581" w:rsidRPr="00C4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717DE"/>
    <w:rsid w:val="000761C3"/>
    <w:rsid w:val="000A5B58"/>
    <w:rsid w:val="000B4270"/>
    <w:rsid w:val="001C0250"/>
    <w:rsid w:val="001F78B5"/>
    <w:rsid w:val="00257A7E"/>
    <w:rsid w:val="002B6CFD"/>
    <w:rsid w:val="0034270D"/>
    <w:rsid w:val="00354754"/>
    <w:rsid w:val="003F600F"/>
    <w:rsid w:val="00425FB0"/>
    <w:rsid w:val="0054195C"/>
    <w:rsid w:val="0058189A"/>
    <w:rsid w:val="005A1012"/>
    <w:rsid w:val="00681578"/>
    <w:rsid w:val="00734D9F"/>
    <w:rsid w:val="00774450"/>
    <w:rsid w:val="007846D7"/>
    <w:rsid w:val="008B5B7B"/>
    <w:rsid w:val="00A031FF"/>
    <w:rsid w:val="00A375FA"/>
    <w:rsid w:val="00AC0D95"/>
    <w:rsid w:val="00B47B52"/>
    <w:rsid w:val="00C36C65"/>
    <w:rsid w:val="00C44581"/>
    <w:rsid w:val="00DC0CAC"/>
    <w:rsid w:val="00E47DE5"/>
    <w:rsid w:val="00EC0E83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Renae Bentley</cp:lastModifiedBy>
  <cp:revision>2</cp:revision>
  <cp:lastPrinted>2020-04-09T15:17:00Z</cp:lastPrinted>
  <dcterms:created xsi:type="dcterms:W3CDTF">2022-08-18T15:10:00Z</dcterms:created>
  <dcterms:modified xsi:type="dcterms:W3CDTF">2022-08-18T15:10:00Z</dcterms:modified>
</cp:coreProperties>
</file>