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B10" w:rsidRPr="006A7B10" w:rsidRDefault="006A7B10" w:rsidP="006A7B10">
      <w:pPr>
        <w:jc w:val="center"/>
        <w:rPr>
          <w:b/>
        </w:rPr>
      </w:pPr>
      <w:r w:rsidRPr="006A7B10">
        <w:rPr>
          <w:b/>
        </w:rPr>
        <w:t>EMANUEL COUNTY EARLY HEAD START</w:t>
      </w:r>
    </w:p>
    <w:p w:rsidR="006A7B10" w:rsidRPr="00176AF7" w:rsidRDefault="006A7B10" w:rsidP="006A7B10">
      <w:pPr>
        <w:jc w:val="center"/>
        <w:rPr>
          <w:b/>
        </w:rPr>
      </w:pPr>
      <w:r w:rsidRPr="00176AF7">
        <w:rPr>
          <w:b/>
        </w:rPr>
        <w:t>2016-2017 Annual Program Report</w:t>
      </w:r>
    </w:p>
    <w:p w:rsidR="006A7B10" w:rsidRPr="006A7B10" w:rsidRDefault="006A7B10" w:rsidP="006A7B10"/>
    <w:p w:rsidR="006A7B10" w:rsidRPr="006A7B10" w:rsidRDefault="006A7B10" w:rsidP="006A7B10">
      <w:r w:rsidRPr="006A7B10">
        <w:t xml:space="preserve">The federally funded grant program, awarded to the Emanuel County Board of Education, provides comprehensive year-round center-based services to 48 infants and toddlers up to age three and 7 pregnant women. Six mixed-age classrooms comprised of eight infants and toddlers are supervised by two trained caregivers.  Full-day services are provided 220 days per year, eight hours daily, from 7:30 </w:t>
      </w:r>
      <w:bookmarkStart w:id="0" w:name="_GoBack"/>
      <w:bookmarkEnd w:id="0"/>
      <w:r w:rsidRPr="006A7B10">
        <w:t xml:space="preserve">a.m. to 3:30 p.m., at the new Early Learning Center adjoining Swainsboro Primary School utilizing the Creative Curriculum, Ages and Stages, Ages and Stages: Social-Emotional, and The OUNCE Scale assessment instrument.  </w:t>
      </w:r>
    </w:p>
    <w:p w:rsidR="006A7B10" w:rsidRPr="006A7B10" w:rsidRDefault="006A7B10" w:rsidP="006A7B10">
      <w:r w:rsidRPr="006A7B10">
        <w:t>Service Area--</w:t>
      </w:r>
      <w:smartTag w:uri="urn:schemas-microsoft-com:office:smarttags" w:element="PlaceName">
        <w:r w:rsidRPr="006A7B10">
          <w:t>Emanuel</w:t>
        </w:r>
      </w:smartTag>
      <w:r w:rsidRPr="006A7B10">
        <w:t xml:space="preserve"> </w:t>
      </w:r>
      <w:smartTag w:uri="urn:schemas-microsoft-com:office:smarttags" w:element="PlaceType">
        <w:r w:rsidRPr="006A7B10">
          <w:t>County</w:t>
        </w:r>
      </w:smartTag>
      <w:r w:rsidRPr="006A7B10">
        <w:t xml:space="preserve">—Swainsboro, </w:t>
      </w:r>
      <w:smartTag w:uri="urn:schemas-microsoft-com:office:smarttags" w:element="PlaceName">
        <w:r w:rsidRPr="006A7B10">
          <w:t>Twin</w:t>
        </w:r>
      </w:smartTag>
      <w:r w:rsidRPr="006A7B10">
        <w:t xml:space="preserve"> </w:t>
      </w:r>
      <w:smartTag w:uri="urn:schemas-microsoft-com:office:smarttags" w:element="PlaceType">
        <w:r w:rsidRPr="006A7B10">
          <w:t>City</w:t>
        </w:r>
      </w:smartTag>
      <w:r w:rsidRPr="006A7B10">
        <w:t xml:space="preserve">, </w:t>
      </w:r>
      <w:smartTag w:uri="urn:schemas-microsoft-com:office:smarttags" w:element="City">
        <w:r w:rsidRPr="006A7B10">
          <w:t>Adrian</w:t>
        </w:r>
      </w:smartTag>
      <w:r w:rsidRPr="006A7B10">
        <w:t xml:space="preserve">, </w:t>
      </w:r>
      <w:smartTag w:uri="urn:schemas-microsoft-com:office:smarttags" w:element="City">
        <w:r w:rsidRPr="006A7B10">
          <w:t>Oak Park</w:t>
        </w:r>
      </w:smartTag>
      <w:r w:rsidRPr="006A7B10">
        <w:t xml:space="preserve">, Summertown, </w:t>
      </w:r>
      <w:smartTag w:uri="urn:schemas-microsoft-com:office:smarttags" w:element="place">
        <w:smartTag w:uri="urn:schemas-microsoft-com:office:smarttags" w:element="City">
          <w:r w:rsidRPr="006A7B10">
            <w:t>Garfield</w:t>
          </w:r>
        </w:smartTag>
      </w:smartTag>
      <w:r w:rsidRPr="006A7B10">
        <w:t xml:space="preserve">, </w:t>
      </w:r>
      <w:proofErr w:type="spellStart"/>
      <w:r w:rsidRPr="006A7B10">
        <w:t>Lexsy</w:t>
      </w:r>
      <w:proofErr w:type="spellEnd"/>
      <w:r w:rsidRPr="006A7B10">
        <w:t xml:space="preserve">, and </w:t>
      </w:r>
      <w:proofErr w:type="spellStart"/>
      <w:r w:rsidRPr="006A7B10">
        <w:t>Stillmore</w:t>
      </w:r>
      <w:proofErr w:type="spellEnd"/>
      <w:r w:rsidRPr="006A7B10">
        <w:t xml:space="preserve">.    </w:t>
      </w:r>
    </w:p>
    <w:p w:rsidR="006A7B10" w:rsidRPr="006A7B10" w:rsidRDefault="006A7B10" w:rsidP="006A7B10">
      <w:r w:rsidRPr="006A7B10">
        <w:t xml:space="preserve">Services to Pregnant Women—Pregnant teens at local high schools and middle schools are target groups. </w:t>
      </w:r>
    </w:p>
    <w:p w:rsidR="006A7B10" w:rsidRPr="006A7B10" w:rsidRDefault="006A7B10" w:rsidP="006A7B10">
      <w:pPr>
        <w:rPr>
          <w:b/>
        </w:rPr>
      </w:pPr>
      <w:r w:rsidRPr="006A7B10">
        <w:rPr>
          <w:b/>
        </w:rPr>
        <w:t xml:space="preserve">Financial Award for 2016-2017 Program Year- $ 714,136 Federal Dollars and No Private Funds--$17,200 Training and Technical Assistance Funds Included--$178,534 Required Non-Federal Match </w:t>
      </w:r>
    </w:p>
    <w:p w:rsidR="006A7B10" w:rsidRPr="006A7B10" w:rsidRDefault="006A7B10" w:rsidP="006A7B10">
      <w:pPr>
        <w:rPr>
          <w:b/>
          <w:vertAlign w:val="superscript"/>
        </w:rPr>
      </w:pPr>
      <w:r w:rsidRPr="006A7B10">
        <w:rPr>
          <w:b/>
        </w:rPr>
        <w:t>Funding Period-- September 1</w:t>
      </w:r>
      <w:r w:rsidRPr="006A7B10">
        <w:rPr>
          <w:b/>
          <w:vertAlign w:val="superscript"/>
        </w:rPr>
        <w:t>st</w:t>
      </w:r>
      <w:r w:rsidRPr="006A7B10">
        <w:rPr>
          <w:b/>
        </w:rPr>
        <w:t xml:space="preserve"> to August 31</w:t>
      </w:r>
      <w:r w:rsidRPr="006A7B10">
        <w:rPr>
          <w:b/>
          <w:vertAlign w:val="superscript"/>
        </w:rPr>
        <w:t>st</w:t>
      </w:r>
    </w:p>
    <w:p w:rsidR="006A7B10" w:rsidRPr="006A7B10" w:rsidRDefault="006A7B10" w:rsidP="006A7B10">
      <w:pPr>
        <w:pStyle w:val="NoSpacing"/>
        <w:rPr>
          <w:b/>
        </w:rPr>
      </w:pPr>
      <w:r w:rsidRPr="006A7B10">
        <w:rPr>
          <w:b/>
        </w:rPr>
        <w:t>Proposed 2017-2018 Budget--$726,681-Budgetary Expenditures--$709,481 (Salaries, fringe benefits, supplies $23,916, operating expenses) and $17,200 Staff Training and Technical Assistance.</w:t>
      </w:r>
    </w:p>
    <w:p w:rsidR="006A7B10" w:rsidRPr="006A7B10" w:rsidRDefault="006A7B10" w:rsidP="006A7B10">
      <w:pPr>
        <w:rPr>
          <w:b/>
        </w:rPr>
      </w:pPr>
    </w:p>
    <w:p w:rsidR="006A7B10" w:rsidRPr="006A7B10" w:rsidRDefault="006A7B10" w:rsidP="006A7B10">
      <w:r w:rsidRPr="006A7B10">
        <w:rPr>
          <w:b/>
        </w:rPr>
        <w:t>Family Eligibility</w:t>
      </w:r>
      <w:r w:rsidRPr="006A7B10">
        <w:t xml:space="preserve">--Head Start Income Guidelines Weighted Application to insure children and families most in need are served (parents in school or working).  Ten percent of funded enrollment slots (6) must be made available to children with disabilities each program year.  </w:t>
      </w:r>
    </w:p>
    <w:p w:rsidR="006A7B10" w:rsidRPr="006A7B10" w:rsidRDefault="006A7B10" w:rsidP="006A7B10">
      <w:r w:rsidRPr="006A7B10">
        <w:rPr>
          <w:b/>
        </w:rPr>
        <w:t>Governance--</w:t>
      </w:r>
      <w:r w:rsidRPr="006A7B10">
        <w:t>Emanuel County Board of Education—Fiscal Agent and Governing Body</w:t>
      </w:r>
    </w:p>
    <w:p w:rsidR="006A7B10" w:rsidRPr="006A7B10" w:rsidRDefault="006A7B10" w:rsidP="006A7B10">
      <w:r w:rsidRPr="006A7B10">
        <w:rPr>
          <w:b/>
        </w:rPr>
        <w:t>Policy Council</w:t>
      </w:r>
      <w:r w:rsidRPr="006A7B10">
        <w:t>—3 Community Representatives and 4 Parents—Quarterly Meetings</w:t>
      </w:r>
    </w:p>
    <w:p w:rsidR="006A7B10" w:rsidRPr="003823CE" w:rsidRDefault="006A7B10" w:rsidP="006A7B10">
      <w:pPr>
        <w:pStyle w:val="NoSpacing"/>
        <w:jc w:val="both"/>
        <w:rPr>
          <w:b/>
        </w:rPr>
      </w:pPr>
      <w:r w:rsidRPr="003823CE">
        <w:rPr>
          <w:b/>
        </w:rPr>
        <w:t>Staff-</w:t>
      </w:r>
    </w:p>
    <w:p w:rsidR="006A7B10" w:rsidRPr="006A7B10" w:rsidRDefault="006A7B10" w:rsidP="006A7B10">
      <w:pPr>
        <w:pStyle w:val="NoSpacing"/>
        <w:jc w:val="both"/>
      </w:pPr>
      <w:r w:rsidRPr="006A7B10">
        <w:t xml:space="preserve">Director—Gail McRae </w:t>
      </w:r>
    </w:p>
    <w:p w:rsidR="006A7B10" w:rsidRPr="006A7B10" w:rsidRDefault="006A7B10" w:rsidP="006A7B10">
      <w:pPr>
        <w:pStyle w:val="NoSpacing"/>
        <w:jc w:val="both"/>
      </w:pPr>
      <w:r w:rsidRPr="006A7B10">
        <w:t>Early Childhood &amp; Disabilities Manager---Christy Ellington</w:t>
      </w:r>
    </w:p>
    <w:p w:rsidR="006A7B10" w:rsidRPr="006A7B10" w:rsidRDefault="006A7B10" w:rsidP="006A7B10">
      <w:pPr>
        <w:pStyle w:val="NoSpacing"/>
        <w:jc w:val="both"/>
      </w:pPr>
      <w:r w:rsidRPr="006A7B10">
        <w:t>Health/Nutrition/Services to Pregnant Women Coordinator—Jennifer Kelly</w:t>
      </w:r>
    </w:p>
    <w:p w:rsidR="006A7B10" w:rsidRPr="006A7B10" w:rsidRDefault="006A7B10" w:rsidP="006A7B10">
      <w:pPr>
        <w:pStyle w:val="NoSpacing"/>
        <w:jc w:val="both"/>
      </w:pPr>
      <w:r w:rsidRPr="006A7B10">
        <w:t>Parent Involvement/Family Services Coordinator—Nita Livingston</w:t>
      </w:r>
    </w:p>
    <w:p w:rsidR="006A7B10" w:rsidRPr="006A7B10" w:rsidRDefault="00003312" w:rsidP="006A7B10">
      <w:pPr>
        <w:pStyle w:val="NoSpacing"/>
        <w:jc w:val="both"/>
      </w:pPr>
      <w:r>
        <w:t>Mental Health Consultant</w:t>
      </w:r>
      <w:r w:rsidR="006A7B10" w:rsidRPr="006A7B10">
        <w:t>—</w:t>
      </w:r>
      <w:r>
        <w:t xml:space="preserve">, </w:t>
      </w:r>
      <w:r w:rsidR="00BF4D62">
        <w:t>Leslie Rowland</w:t>
      </w:r>
      <w:r>
        <w:t xml:space="preserve"> (New), </w:t>
      </w:r>
      <w:r w:rsidRPr="006A7B10">
        <w:t xml:space="preserve">Pam </w:t>
      </w:r>
      <w:proofErr w:type="spellStart"/>
      <w:r w:rsidRPr="006A7B10">
        <w:t>Carr</w:t>
      </w:r>
      <w:proofErr w:type="spellEnd"/>
      <w:r>
        <w:t xml:space="preserve"> (Retired)</w:t>
      </w:r>
    </w:p>
    <w:p w:rsidR="006A7B10" w:rsidRPr="006A7B10" w:rsidRDefault="006A7B10" w:rsidP="006A7B10">
      <w:pPr>
        <w:pStyle w:val="NoSpacing"/>
        <w:jc w:val="both"/>
      </w:pPr>
      <w:r w:rsidRPr="006A7B10">
        <w:t>12 Classroom Caregivers and 3 Support Staff—Total staff—20</w:t>
      </w:r>
    </w:p>
    <w:p w:rsidR="00D50122" w:rsidRDefault="00D50122" w:rsidP="006A7B10">
      <w:pPr>
        <w:rPr>
          <w:b/>
        </w:rPr>
      </w:pPr>
    </w:p>
    <w:p w:rsidR="006A7B10" w:rsidRPr="006A7B10" w:rsidRDefault="006A7B10" w:rsidP="006A7B10">
      <w:pPr>
        <w:rPr>
          <w:b/>
        </w:rPr>
      </w:pPr>
      <w:r w:rsidRPr="006A7B10">
        <w:rPr>
          <w:b/>
        </w:rPr>
        <w:t>Classroom Staff Credentials</w:t>
      </w:r>
    </w:p>
    <w:p w:rsidR="006A7B10" w:rsidRDefault="006A7B10" w:rsidP="006A7B10">
      <w:r w:rsidRPr="006A7B10">
        <w:t xml:space="preserve">BS Degree--1             AA Degree--5              Child Development Associate Credential--6    </w:t>
      </w:r>
    </w:p>
    <w:p w:rsidR="00176AF7" w:rsidRDefault="00176AF7" w:rsidP="006A7B10">
      <w:pPr>
        <w:rPr>
          <w:b/>
        </w:rPr>
      </w:pPr>
    </w:p>
    <w:p w:rsidR="006A7B10" w:rsidRPr="006A7B10" w:rsidRDefault="006A7B10" w:rsidP="006A7B10">
      <w:r w:rsidRPr="006A7B10">
        <w:rPr>
          <w:b/>
        </w:rPr>
        <w:lastRenderedPageBreak/>
        <w:t xml:space="preserve">Community Partnerships  </w:t>
      </w:r>
    </w:p>
    <w:p w:rsidR="006A7B10" w:rsidRPr="006A7B10" w:rsidRDefault="006A7B10" w:rsidP="006A7B10">
      <w:r w:rsidRPr="006A7B10">
        <w:t>Approximately thirty-five partnership agreements between Emanuel County Early Head Start and local community resource providers help insure enrolled at-risk families have access to needed resources and services to help them become more self-sufficient.</w:t>
      </w:r>
    </w:p>
    <w:p w:rsidR="006A7B10" w:rsidRPr="006A7B10" w:rsidRDefault="006A7B10" w:rsidP="006A7B10"/>
    <w:p w:rsidR="005434F2" w:rsidRPr="00637B17" w:rsidRDefault="006A7B10" w:rsidP="006A7B10">
      <w:pPr>
        <w:rPr>
          <w:b/>
        </w:rPr>
      </w:pPr>
      <w:r w:rsidRPr="006A7B10">
        <w:rPr>
          <w:b/>
        </w:rPr>
        <w:t>Program Facts</w:t>
      </w:r>
    </w:p>
    <w:tbl>
      <w:tblPr>
        <w:tblStyle w:val="TableGrid"/>
        <w:tblW w:w="0" w:type="auto"/>
        <w:tblLook w:val="04A0" w:firstRow="1" w:lastRow="0" w:firstColumn="1" w:lastColumn="0" w:noHBand="0" w:noVBand="1"/>
      </w:tblPr>
      <w:tblGrid>
        <w:gridCol w:w="3944"/>
        <w:gridCol w:w="719"/>
        <w:gridCol w:w="3858"/>
        <w:gridCol w:w="829"/>
      </w:tblGrid>
      <w:tr w:rsidR="005434F2" w:rsidTr="00003312">
        <w:tc>
          <w:tcPr>
            <w:tcW w:w="3944" w:type="dxa"/>
          </w:tcPr>
          <w:p w:rsidR="005434F2" w:rsidRDefault="005434F2" w:rsidP="006A7B10">
            <w:r>
              <w:t>Funded Enrollment</w:t>
            </w:r>
          </w:p>
        </w:tc>
        <w:tc>
          <w:tcPr>
            <w:tcW w:w="719" w:type="dxa"/>
          </w:tcPr>
          <w:p w:rsidR="005434F2" w:rsidRDefault="005434F2" w:rsidP="00637B17">
            <w:pPr>
              <w:jc w:val="center"/>
            </w:pPr>
            <w:r>
              <w:t>55</w:t>
            </w:r>
          </w:p>
        </w:tc>
        <w:tc>
          <w:tcPr>
            <w:tcW w:w="3858" w:type="dxa"/>
          </w:tcPr>
          <w:p w:rsidR="005434F2" w:rsidRDefault="005434F2" w:rsidP="006A7B10">
            <w:r w:rsidRPr="005434F2">
              <w:t>Meals Served by School Nutrition Program</w:t>
            </w:r>
            <w:r>
              <w:t xml:space="preserve">     </w:t>
            </w:r>
            <w:r w:rsidRPr="005434F2">
              <w:t>(Breakfast and Lunch)</w:t>
            </w:r>
          </w:p>
        </w:tc>
        <w:tc>
          <w:tcPr>
            <w:tcW w:w="829" w:type="dxa"/>
          </w:tcPr>
          <w:p w:rsidR="005434F2" w:rsidRDefault="00637B17" w:rsidP="00637B17">
            <w:pPr>
              <w:jc w:val="center"/>
            </w:pPr>
            <w:r>
              <w:t>15,597</w:t>
            </w:r>
          </w:p>
        </w:tc>
      </w:tr>
      <w:tr w:rsidR="005434F2" w:rsidTr="00003312">
        <w:tc>
          <w:tcPr>
            <w:tcW w:w="3944" w:type="dxa"/>
          </w:tcPr>
          <w:p w:rsidR="005434F2" w:rsidRDefault="005434F2" w:rsidP="006A7B10">
            <w:r>
              <w:t>Average Monthly Enrollment</w:t>
            </w:r>
          </w:p>
        </w:tc>
        <w:tc>
          <w:tcPr>
            <w:tcW w:w="719" w:type="dxa"/>
          </w:tcPr>
          <w:p w:rsidR="005434F2" w:rsidRDefault="005434F2" w:rsidP="00637B17">
            <w:pPr>
              <w:jc w:val="center"/>
            </w:pPr>
            <w:r>
              <w:t>55</w:t>
            </w:r>
          </w:p>
        </w:tc>
        <w:tc>
          <w:tcPr>
            <w:tcW w:w="3858" w:type="dxa"/>
          </w:tcPr>
          <w:p w:rsidR="005434F2" w:rsidRDefault="005434F2" w:rsidP="006A7B10">
            <w:r w:rsidRPr="005434F2">
              <w:t>Snacks Served</w:t>
            </w:r>
          </w:p>
        </w:tc>
        <w:tc>
          <w:tcPr>
            <w:tcW w:w="829" w:type="dxa"/>
          </w:tcPr>
          <w:p w:rsidR="005434F2" w:rsidRDefault="00637B17" w:rsidP="00637B17">
            <w:pPr>
              <w:jc w:val="center"/>
            </w:pPr>
            <w:r>
              <w:t>7,729</w:t>
            </w:r>
          </w:p>
        </w:tc>
      </w:tr>
      <w:tr w:rsidR="005434F2" w:rsidTr="00003312">
        <w:tc>
          <w:tcPr>
            <w:tcW w:w="3944" w:type="dxa"/>
          </w:tcPr>
          <w:p w:rsidR="005434F2" w:rsidRDefault="005434F2" w:rsidP="006A7B10">
            <w:r>
              <w:t>Infants and Toddlers Served</w:t>
            </w:r>
          </w:p>
        </w:tc>
        <w:tc>
          <w:tcPr>
            <w:tcW w:w="719" w:type="dxa"/>
          </w:tcPr>
          <w:p w:rsidR="005434F2" w:rsidRDefault="005434F2" w:rsidP="00637B17">
            <w:pPr>
              <w:jc w:val="center"/>
            </w:pPr>
            <w:r>
              <w:t>73</w:t>
            </w:r>
          </w:p>
        </w:tc>
        <w:tc>
          <w:tcPr>
            <w:tcW w:w="3858" w:type="dxa"/>
          </w:tcPr>
          <w:p w:rsidR="005434F2" w:rsidRDefault="005434F2" w:rsidP="006A7B10">
            <w:r w:rsidRPr="005434F2">
              <w:t>Number on Wait List</w:t>
            </w:r>
          </w:p>
        </w:tc>
        <w:tc>
          <w:tcPr>
            <w:tcW w:w="829" w:type="dxa"/>
          </w:tcPr>
          <w:p w:rsidR="005434F2" w:rsidRDefault="00637B17" w:rsidP="00637B17">
            <w:pPr>
              <w:jc w:val="center"/>
            </w:pPr>
            <w:r>
              <w:t>51</w:t>
            </w:r>
          </w:p>
        </w:tc>
      </w:tr>
      <w:tr w:rsidR="005434F2" w:rsidTr="00003312">
        <w:tc>
          <w:tcPr>
            <w:tcW w:w="3944" w:type="dxa"/>
          </w:tcPr>
          <w:p w:rsidR="005434F2" w:rsidRDefault="005434F2" w:rsidP="006A7B10">
            <w:r>
              <w:t>Children w/ Disabilities</w:t>
            </w:r>
          </w:p>
        </w:tc>
        <w:tc>
          <w:tcPr>
            <w:tcW w:w="719" w:type="dxa"/>
          </w:tcPr>
          <w:p w:rsidR="005434F2" w:rsidRDefault="005434F2" w:rsidP="00637B17">
            <w:pPr>
              <w:jc w:val="center"/>
            </w:pPr>
            <w:r>
              <w:t>13</w:t>
            </w:r>
          </w:p>
        </w:tc>
        <w:tc>
          <w:tcPr>
            <w:tcW w:w="3858" w:type="dxa"/>
          </w:tcPr>
          <w:p w:rsidR="005434F2" w:rsidRDefault="00003312" w:rsidP="006A7B10">
            <w:r>
              <w:t>Number of children with health insurance</w:t>
            </w:r>
          </w:p>
        </w:tc>
        <w:tc>
          <w:tcPr>
            <w:tcW w:w="829" w:type="dxa"/>
          </w:tcPr>
          <w:p w:rsidR="005434F2" w:rsidRDefault="007C7A1C" w:rsidP="00637B17">
            <w:pPr>
              <w:jc w:val="center"/>
            </w:pPr>
            <w:r>
              <w:t>73</w:t>
            </w:r>
          </w:p>
        </w:tc>
      </w:tr>
      <w:tr w:rsidR="00003312" w:rsidTr="00003312">
        <w:tc>
          <w:tcPr>
            <w:tcW w:w="3944" w:type="dxa"/>
          </w:tcPr>
          <w:p w:rsidR="00003312" w:rsidRDefault="00003312" w:rsidP="00003312">
            <w:r>
              <w:t>Pregnant Women Served</w:t>
            </w:r>
          </w:p>
        </w:tc>
        <w:tc>
          <w:tcPr>
            <w:tcW w:w="719" w:type="dxa"/>
          </w:tcPr>
          <w:p w:rsidR="00003312" w:rsidRDefault="00003312" w:rsidP="00003312">
            <w:pPr>
              <w:jc w:val="center"/>
            </w:pPr>
            <w:r>
              <w:t>16</w:t>
            </w:r>
          </w:p>
        </w:tc>
        <w:tc>
          <w:tcPr>
            <w:tcW w:w="3858" w:type="dxa"/>
          </w:tcPr>
          <w:p w:rsidR="00003312" w:rsidRDefault="00003312" w:rsidP="00003312">
            <w:r>
              <w:t>Health Checks for Children</w:t>
            </w:r>
          </w:p>
        </w:tc>
        <w:tc>
          <w:tcPr>
            <w:tcW w:w="829" w:type="dxa"/>
          </w:tcPr>
          <w:p w:rsidR="00003312" w:rsidRDefault="00003312" w:rsidP="00003312">
            <w:pPr>
              <w:jc w:val="center"/>
            </w:pPr>
            <w:r>
              <w:t>73</w:t>
            </w:r>
          </w:p>
        </w:tc>
      </w:tr>
      <w:tr w:rsidR="00003312" w:rsidTr="00003312">
        <w:tc>
          <w:tcPr>
            <w:tcW w:w="3944" w:type="dxa"/>
          </w:tcPr>
          <w:p w:rsidR="00003312" w:rsidRDefault="00003312" w:rsidP="00003312">
            <w:r>
              <w:t>Total Families Served</w:t>
            </w:r>
          </w:p>
        </w:tc>
        <w:tc>
          <w:tcPr>
            <w:tcW w:w="719" w:type="dxa"/>
          </w:tcPr>
          <w:p w:rsidR="00003312" w:rsidRDefault="00003312" w:rsidP="00003312">
            <w:pPr>
              <w:jc w:val="center"/>
            </w:pPr>
            <w:r>
              <w:t>89</w:t>
            </w:r>
          </w:p>
        </w:tc>
        <w:tc>
          <w:tcPr>
            <w:tcW w:w="3858" w:type="dxa"/>
          </w:tcPr>
          <w:p w:rsidR="00003312" w:rsidRDefault="00003312" w:rsidP="00003312">
            <w:r w:rsidRPr="005434F2">
              <w:t>Dental Exams for Children</w:t>
            </w:r>
          </w:p>
        </w:tc>
        <w:tc>
          <w:tcPr>
            <w:tcW w:w="829" w:type="dxa"/>
          </w:tcPr>
          <w:p w:rsidR="00003312" w:rsidRDefault="00003312" w:rsidP="00003312">
            <w:pPr>
              <w:jc w:val="center"/>
            </w:pPr>
            <w:r>
              <w:t>73</w:t>
            </w:r>
          </w:p>
        </w:tc>
      </w:tr>
      <w:tr w:rsidR="00003312" w:rsidTr="00003312">
        <w:tc>
          <w:tcPr>
            <w:tcW w:w="3944" w:type="dxa"/>
          </w:tcPr>
          <w:p w:rsidR="00003312" w:rsidRDefault="00003312" w:rsidP="00003312">
            <w:r>
              <w:t>Volunteer hours</w:t>
            </w:r>
          </w:p>
        </w:tc>
        <w:tc>
          <w:tcPr>
            <w:tcW w:w="719" w:type="dxa"/>
          </w:tcPr>
          <w:p w:rsidR="00003312" w:rsidRDefault="00003312" w:rsidP="00003312">
            <w:pPr>
              <w:jc w:val="center"/>
            </w:pPr>
            <w:r>
              <w:t>4,589</w:t>
            </w:r>
          </w:p>
        </w:tc>
        <w:tc>
          <w:tcPr>
            <w:tcW w:w="3858" w:type="dxa"/>
          </w:tcPr>
          <w:p w:rsidR="00003312" w:rsidRDefault="00003312" w:rsidP="00003312">
            <w:r w:rsidRPr="005434F2">
              <w:t>Family Engagement Activities</w:t>
            </w:r>
          </w:p>
        </w:tc>
        <w:tc>
          <w:tcPr>
            <w:tcW w:w="829" w:type="dxa"/>
          </w:tcPr>
          <w:p w:rsidR="00003312" w:rsidRDefault="00003312" w:rsidP="00003312">
            <w:pPr>
              <w:jc w:val="center"/>
            </w:pPr>
            <w:r>
              <w:t>45</w:t>
            </w:r>
          </w:p>
        </w:tc>
      </w:tr>
      <w:tr w:rsidR="00003312" w:rsidTr="00003312">
        <w:tc>
          <w:tcPr>
            <w:tcW w:w="3944" w:type="dxa"/>
          </w:tcPr>
          <w:p w:rsidR="00003312" w:rsidRDefault="00003312" w:rsidP="00003312">
            <w:r>
              <w:t>Family Engagement Activity Attendance</w:t>
            </w:r>
          </w:p>
        </w:tc>
        <w:tc>
          <w:tcPr>
            <w:tcW w:w="719" w:type="dxa"/>
          </w:tcPr>
          <w:p w:rsidR="00003312" w:rsidRDefault="00003312" w:rsidP="00003312">
            <w:pPr>
              <w:jc w:val="center"/>
            </w:pPr>
            <w:r>
              <w:t>585</w:t>
            </w:r>
          </w:p>
        </w:tc>
        <w:tc>
          <w:tcPr>
            <w:tcW w:w="3858" w:type="dxa"/>
          </w:tcPr>
          <w:p w:rsidR="00003312" w:rsidRDefault="00003312" w:rsidP="00003312">
            <w:r w:rsidRPr="005434F2">
              <w:t>Fathers Attending Activities</w:t>
            </w:r>
          </w:p>
        </w:tc>
        <w:tc>
          <w:tcPr>
            <w:tcW w:w="829" w:type="dxa"/>
          </w:tcPr>
          <w:p w:rsidR="00003312" w:rsidRDefault="00003312" w:rsidP="00003312">
            <w:pPr>
              <w:jc w:val="center"/>
            </w:pPr>
            <w:r>
              <w:t>14</w:t>
            </w:r>
          </w:p>
        </w:tc>
      </w:tr>
      <w:tr w:rsidR="00003312" w:rsidTr="00003312">
        <w:tc>
          <w:tcPr>
            <w:tcW w:w="3944" w:type="dxa"/>
          </w:tcPr>
          <w:p w:rsidR="00003312" w:rsidRDefault="00003312" w:rsidP="00003312">
            <w:r>
              <w:t>Newborns/Infants of Pregnant Women Enrolled</w:t>
            </w:r>
          </w:p>
        </w:tc>
        <w:tc>
          <w:tcPr>
            <w:tcW w:w="719" w:type="dxa"/>
          </w:tcPr>
          <w:p w:rsidR="00003312" w:rsidRDefault="00003312" w:rsidP="00003312">
            <w:pPr>
              <w:jc w:val="center"/>
            </w:pPr>
            <w:r>
              <w:t>7</w:t>
            </w:r>
          </w:p>
        </w:tc>
        <w:tc>
          <w:tcPr>
            <w:tcW w:w="3858" w:type="dxa"/>
          </w:tcPr>
          <w:p w:rsidR="00003312" w:rsidRDefault="00003312" w:rsidP="00003312">
            <w:r>
              <w:t>Enrollment Turnover</w:t>
            </w:r>
          </w:p>
        </w:tc>
        <w:tc>
          <w:tcPr>
            <w:tcW w:w="829" w:type="dxa"/>
          </w:tcPr>
          <w:p w:rsidR="00003312" w:rsidRDefault="00003312" w:rsidP="00003312">
            <w:pPr>
              <w:jc w:val="center"/>
            </w:pPr>
            <w:r>
              <w:t>4</w:t>
            </w:r>
          </w:p>
        </w:tc>
      </w:tr>
      <w:tr w:rsidR="00003312" w:rsidTr="00003312">
        <w:tc>
          <w:tcPr>
            <w:tcW w:w="3944" w:type="dxa"/>
          </w:tcPr>
          <w:p w:rsidR="00003312" w:rsidRDefault="00003312" w:rsidP="00003312">
            <w:r>
              <w:t>Number of Children Exceeding 85% Attendance</w:t>
            </w:r>
          </w:p>
        </w:tc>
        <w:tc>
          <w:tcPr>
            <w:tcW w:w="719" w:type="dxa"/>
          </w:tcPr>
          <w:p w:rsidR="00003312" w:rsidRDefault="00003312" w:rsidP="00003312">
            <w:pPr>
              <w:jc w:val="center"/>
            </w:pPr>
            <w:r>
              <w:t>33</w:t>
            </w:r>
          </w:p>
        </w:tc>
        <w:tc>
          <w:tcPr>
            <w:tcW w:w="3858" w:type="dxa"/>
          </w:tcPr>
          <w:p w:rsidR="00003312" w:rsidRDefault="00003312" w:rsidP="00003312">
            <w:r w:rsidRPr="005434F2">
              <w:t>Three Year Old</w:t>
            </w:r>
            <w:r>
              <w:t>s</w:t>
            </w:r>
            <w:r w:rsidRPr="005434F2">
              <w:t xml:space="preserve"> Transitioning</w:t>
            </w:r>
          </w:p>
        </w:tc>
        <w:tc>
          <w:tcPr>
            <w:tcW w:w="829" w:type="dxa"/>
          </w:tcPr>
          <w:p w:rsidR="00003312" w:rsidRDefault="00003312" w:rsidP="00003312">
            <w:pPr>
              <w:jc w:val="center"/>
            </w:pPr>
            <w:r>
              <w:t>22</w:t>
            </w:r>
          </w:p>
        </w:tc>
      </w:tr>
    </w:tbl>
    <w:p w:rsidR="006A7B10" w:rsidRPr="006A7B10" w:rsidRDefault="006A7B10" w:rsidP="006A7B10">
      <w:r w:rsidRPr="006A7B10">
        <w:t xml:space="preserve">   </w:t>
      </w:r>
    </w:p>
    <w:p w:rsidR="006A7B10" w:rsidRPr="006A7B10" w:rsidRDefault="006A7B10" w:rsidP="006A7B10">
      <w:r w:rsidRPr="006A7B10">
        <w:t xml:space="preserve">             </w:t>
      </w:r>
    </w:p>
    <w:p w:rsidR="006A7B10" w:rsidRPr="006A7B10" w:rsidRDefault="006A7B10" w:rsidP="006A7B10">
      <w:pPr>
        <w:rPr>
          <w:b/>
        </w:rPr>
      </w:pPr>
      <w:r w:rsidRPr="006A7B10">
        <w:rPr>
          <w:b/>
        </w:rPr>
        <w:t>2015-2016 SUCCESSFUL FEDERAL MONITORINGS OF PROGRAM with No Findings in the Head Start Key Indicator- Compliant (HSKI-C) review in January and Environmental Health and Safety review i</w:t>
      </w:r>
      <w:r w:rsidR="00612B3D">
        <w:rPr>
          <w:b/>
        </w:rPr>
        <w:t>n March, and No Findings in 2016</w:t>
      </w:r>
      <w:r w:rsidRPr="006A7B10">
        <w:rPr>
          <w:b/>
        </w:rPr>
        <w:t xml:space="preserve"> Financial Audit. </w:t>
      </w:r>
    </w:p>
    <w:p w:rsidR="006A7B10" w:rsidRDefault="006A7B10" w:rsidP="006A7B10">
      <w:pPr>
        <w:rPr>
          <w:b/>
        </w:rPr>
      </w:pPr>
    </w:p>
    <w:p w:rsidR="00D50122" w:rsidRDefault="00D50122" w:rsidP="006A7B10">
      <w:pPr>
        <w:rPr>
          <w:b/>
        </w:rPr>
      </w:pPr>
    </w:p>
    <w:p w:rsidR="00D50122" w:rsidRDefault="00D50122" w:rsidP="006A7B10">
      <w:pPr>
        <w:rPr>
          <w:b/>
        </w:rPr>
      </w:pPr>
    </w:p>
    <w:p w:rsidR="00D50122" w:rsidRDefault="00D50122" w:rsidP="006A7B10">
      <w:pPr>
        <w:rPr>
          <w:b/>
        </w:rPr>
      </w:pPr>
    </w:p>
    <w:p w:rsidR="00D50122" w:rsidRDefault="00D50122" w:rsidP="006A7B10">
      <w:pPr>
        <w:rPr>
          <w:b/>
        </w:rPr>
      </w:pPr>
    </w:p>
    <w:p w:rsidR="00D50122" w:rsidRDefault="00D50122" w:rsidP="006A7B10">
      <w:pPr>
        <w:rPr>
          <w:b/>
        </w:rPr>
      </w:pPr>
    </w:p>
    <w:p w:rsidR="00D50122" w:rsidRDefault="00D50122" w:rsidP="006A7B10">
      <w:pPr>
        <w:rPr>
          <w:b/>
        </w:rPr>
      </w:pPr>
    </w:p>
    <w:p w:rsidR="00D50122" w:rsidRDefault="00D50122" w:rsidP="006A7B10">
      <w:pPr>
        <w:rPr>
          <w:b/>
        </w:rPr>
      </w:pPr>
    </w:p>
    <w:p w:rsidR="00D50122" w:rsidRDefault="00D50122" w:rsidP="006A7B10">
      <w:pPr>
        <w:rPr>
          <w:b/>
        </w:rPr>
      </w:pPr>
    </w:p>
    <w:p w:rsidR="00D50122" w:rsidRDefault="00D50122" w:rsidP="006A7B10">
      <w:pPr>
        <w:rPr>
          <w:b/>
        </w:rPr>
      </w:pPr>
    </w:p>
    <w:p w:rsidR="00D50122" w:rsidRDefault="00D50122" w:rsidP="006A7B10">
      <w:pPr>
        <w:rPr>
          <w:b/>
        </w:rPr>
      </w:pPr>
    </w:p>
    <w:p w:rsidR="006A7B10" w:rsidRPr="007C7A1C" w:rsidRDefault="006A7B10" w:rsidP="006A7B10">
      <w:pPr>
        <w:pStyle w:val="NoSpacing"/>
        <w:jc w:val="center"/>
        <w:rPr>
          <w:b/>
          <w:sz w:val="24"/>
          <w:szCs w:val="24"/>
        </w:rPr>
      </w:pPr>
      <w:r w:rsidRPr="007C7A1C">
        <w:rPr>
          <w:b/>
          <w:sz w:val="24"/>
          <w:szCs w:val="24"/>
        </w:rPr>
        <w:lastRenderedPageBreak/>
        <w:t>Emanuel County Early Head Start School Readiness Goals</w:t>
      </w:r>
    </w:p>
    <w:p w:rsidR="006A7B10" w:rsidRPr="006A7B10" w:rsidRDefault="006A7B10" w:rsidP="006A7B10">
      <w:pPr>
        <w:pStyle w:val="NoSpacing"/>
        <w:jc w:val="center"/>
        <w:rPr>
          <w:b/>
        </w:rPr>
      </w:pPr>
    </w:p>
    <w:p w:rsidR="006A7B10" w:rsidRPr="006A7B10" w:rsidRDefault="006A7B10" w:rsidP="00D50122">
      <w:pPr>
        <w:pStyle w:val="NoSpacing"/>
        <w:rPr>
          <w:b/>
        </w:rPr>
      </w:pPr>
      <w:r w:rsidRPr="006A7B10">
        <w:rPr>
          <w:b/>
        </w:rPr>
        <w:t>Social and Emotional Goals</w:t>
      </w:r>
    </w:p>
    <w:p w:rsidR="001B33EB" w:rsidRDefault="001B33EB" w:rsidP="006A7B10">
      <w:pPr>
        <w:pStyle w:val="NoSpacing"/>
      </w:pPr>
    </w:p>
    <w:p w:rsidR="001B33EB" w:rsidRDefault="006A7B10" w:rsidP="001B33EB">
      <w:pPr>
        <w:pStyle w:val="NoSpacing"/>
      </w:pPr>
      <w:r w:rsidRPr="006A7B10">
        <w:t>Early Head Start Infants and Toddlers Will:</w:t>
      </w:r>
    </w:p>
    <w:p w:rsidR="001B33EB" w:rsidRDefault="001B33EB" w:rsidP="001B33EB">
      <w:pPr>
        <w:pStyle w:val="NoSpacing"/>
      </w:pPr>
    </w:p>
    <w:p w:rsidR="006A7B10" w:rsidRPr="006A7B10" w:rsidRDefault="001B33EB" w:rsidP="001B33EB">
      <w:pPr>
        <w:pStyle w:val="NoSpacing"/>
        <w:numPr>
          <w:ilvl w:val="0"/>
          <w:numId w:val="8"/>
        </w:numPr>
      </w:pPr>
      <w:r>
        <w:t xml:space="preserve">    </w:t>
      </w:r>
      <w:r w:rsidR="006A7B10" w:rsidRPr="006A7B10">
        <w:t>Develop secure relationships with a trusted adult.</w:t>
      </w:r>
    </w:p>
    <w:p w:rsidR="001B33EB" w:rsidRDefault="001B33EB" w:rsidP="001B33EB">
      <w:pPr>
        <w:pStyle w:val="NoSpacing"/>
        <w:numPr>
          <w:ilvl w:val="0"/>
          <w:numId w:val="8"/>
        </w:numPr>
      </w:pPr>
      <w:r>
        <w:t xml:space="preserve">    </w:t>
      </w:r>
      <w:r w:rsidR="006A7B10" w:rsidRPr="006A7B10">
        <w:t xml:space="preserve">Demonstrate developmentally appropriate behavior and the ability to self-regulate in a group </w:t>
      </w:r>
    </w:p>
    <w:p w:rsidR="006A7B10" w:rsidRPr="006A7B10" w:rsidRDefault="001B33EB" w:rsidP="001B33EB">
      <w:pPr>
        <w:pStyle w:val="NoSpacing"/>
      </w:pPr>
      <w:r>
        <w:t xml:space="preserve">         </w:t>
      </w:r>
      <w:proofErr w:type="gramStart"/>
      <w:r w:rsidR="006A7B10" w:rsidRPr="006A7B10">
        <w:t>setting</w:t>
      </w:r>
      <w:proofErr w:type="gramEnd"/>
      <w:r w:rsidR="006A7B10" w:rsidRPr="006A7B10">
        <w:t>.</w:t>
      </w:r>
    </w:p>
    <w:p w:rsidR="006A7B10" w:rsidRPr="006A7B10" w:rsidRDefault="001B33EB" w:rsidP="001B33EB">
      <w:pPr>
        <w:pStyle w:val="NoSpacing"/>
        <w:numPr>
          <w:ilvl w:val="0"/>
          <w:numId w:val="8"/>
        </w:numPr>
      </w:pPr>
      <w:r>
        <w:t xml:space="preserve">    </w:t>
      </w:r>
      <w:r w:rsidR="006A7B10" w:rsidRPr="006A7B10">
        <w:t>Develop social awareness of other children and build positive relationships with their peers.</w:t>
      </w:r>
    </w:p>
    <w:p w:rsidR="006A7B10" w:rsidRDefault="006A7B10" w:rsidP="006A7B10">
      <w:pPr>
        <w:rPr>
          <w:b/>
        </w:rPr>
      </w:pPr>
    </w:p>
    <w:p w:rsidR="006A7B10" w:rsidRPr="006A7B10" w:rsidRDefault="006A7B10" w:rsidP="006A7B10">
      <w:pPr>
        <w:rPr>
          <w:b/>
        </w:rPr>
      </w:pPr>
      <w:r w:rsidRPr="006A7B10">
        <w:rPr>
          <w:b/>
        </w:rPr>
        <w:t>Language and Literacy</w:t>
      </w:r>
    </w:p>
    <w:p w:rsidR="006A7B10" w:rsidRPr="006A7B10" w:rsidRDefault="006A7B10" w:rsidP="006A7B10">
      <w:r w:rsidRPr="006A7B10">
        <w:t>Early Head Start Infants and Toddlers Will:</w:t>
      </w:r>
    </w:p>
    <w:p w:rsidR="006A7B10" w:rsidRPr="006A7B10" w:rsidRDefault="006A7B10" w:rsidP="006A7B10">
      <w:pPr>
        <w:numPr>
          <w:ilvl w:val="0"/>
          <w:numId w:val="2"/>
        </w:numPr>
      </w:pPr>
      <w:r w:rsidRPr="006A7B10">
        <w:t>Demonstrate increased receptive language skills and comprehension.</w:t>
      </w:r>
    </w:p>
    <w:p w:rsidR="006A7B10" w:rsidRPr="006A7B10" w:rsidRDefault="006A7B10" w:rsidP="006A7B10">
      <w:pPr>
        <w:numPr>
          <w:ilvl w:val="0"/>
          <w:numId w:val="2"/>
        </w:numPr>
      </w:pPr>
      <w:r w:rsidRPr="006A7B10">
        <w:t>Develop oral language skills in conversation and communication with others.</w:t>
      </w:r>
    </w:p>
    <w:p w:rsidR="006A7B10" w:rsidRPr="006A7B10" w:rsidRDefault="006A7B10" w:rsidP="006A7B10">
      <w:pPr>
        <w:numPr>
          <w:ilvl w:val="0"/>
          <w:numId w:val="2"/>
        </w:numPr>
      </w:pPr>
      <w:r w:rsidRPr="006A7B10">
        <w:t xml:space="preserve">Begin to identify print as a means of communication. </w:t>
      </w:r>
    </w:p>
    <w:p w:rsidR="006A7B10" w:rsidRPr="006A7B10" w:rsidRDefault="006A7B10" w:rsidP="006A7B10">
      <w:pPr>
        <w:numPr>
          <w:ilvl w:val="0"/>
          <w:numId w:val="2"/>
        </w:numPr>
      </w:pPr>
      <w:r w:rsidRPr="006A7B10">
        <w:t>Develop an interest in books and having adults read to them.</w:t>
      </w:r>
    </w:p>
    <w:p w:rsidR="001B33EB" w:rsidRDefault="001B33EB" w:rsidP="006A7B10">
      <w:pPr>
        <w:rPr>
          <w:b/>
        </w:rPr>
      </w:pPr>
    </w:p>
    <w:p w:rsidR="006A7B10" w:rsidRPr="006A7B10" w:rsidRDefault="006A7B10" w:rsidP="006A7B10">
      <w:pPr>
        <w:rPr>
          <w:b/>
        </w:rPr>
      </w:pPr>
      <w:r w:rsidRPr="006A7B10">
        <w:rPr>
          <w:b/>
        </w:rPr>
        <w:t>Physical Well-Being and Motor Development</w:t>
      </w:r>
    </w:p>
    <w:p w:rsidR="006A7B10" w:rsidRPr="006A7B10" w:rsidRDefault="006A7B10" w:rsidP="006A7B10">
      <w:r w:rsidRPr="006A7B10">
        <w:t xml:space="preserve"> Early Head Start Infants and Toddlers Will:</w:t>
      </w:r>
    </w:p>
    <w:p w:rsidR="006A7B10" w:rsidRPr="006A7B10" w:rsidRDefault="006A7B10" w:rsidP="006A7B10">
      <w:pPr>
        <w:numPr>
          <w:ilvl w:val="0"/>
          <w:numId w:val="3"/>
        </w:numPr>
      </w:pPr>
      <w:r w:rsidRPr="006A7B10">
        <w:t>Demonstrate increased control of large muscles in body movements, coordination, and balance.</w:t>
      </w:r>
    </w:p>
    <w:p w:rsidR="006A7B10" w:rsidRPr="006A7B10" w:rsidRDefault="006A7B10" w:rsidP="006A7B10">
      <w:pPr>
        <w:numPr>
          <w:ilvl w:val="0"/>
          <w:numId w:val="3"/>
        </w:numPr>
      </w:pPr>
      <w:r w:rsidRPr="006A7B10">
        <w:t xml:space="preserve">Demonstrate increased control of fine motor skills in using hands and fingers and hand-eye coordination.  </w:t>
      </w:r>
    </w:p>
    <w:p w:rsidR="006A7B10" w:rsidRPr="006A7B10" w:rsidRDefault="006A7B10" w:rsidP="006A7B10">
      <w:pPr>
        <w:numPr>
          <w:ilvl w:val="0"/>
          <w:numId w:val="3"/>
        </w:numPr>
      </w:pPr>
      <w:r w:rsidRPr="006A7B10">
        <w:t>Identify and participate in health, nutrition, and safety practices.</w:t>
      </w:r>
    </w:p>
    <w:p w:rsidR="006A7B10" w:rsidRPr="001B33EB" w:rsidRDefault="006A7B10" w:rsidP="001B33EB">
      <w:pPr>
        <w:pStyle w:val="ListParagraph"/>
        <w:numPr>
          <w:ilvl w:val="0"/>
          <w:numId w:val="3"/>
        </w:numPr>
        <w:rPr>
          <w:b/>
        </w:rPr>
      </w:pPr>
      <w:r w:rsidRPr="006A7B10">
        <w:t>Demonstrate independence in self-help skills.</w:t>
      </w:r>
    </w:p>
    <w:p w:rsidR="001B33EB" w:rsidRDefault="001B33EB" w:rsidP="006A7B10">
      <w:pPr>
        <w:rPr>
          <w:b/>
        </w:rPr>
      </w:pPr>
    </w:p>
    <w:p w:rsidR="006A7B10" w:rsidRPr="006A7B10" w:rsidRDefault="006A7B10" w:rsidP="006A7B10">
      <w:pPr>
        <w:rPr>
          <w:b/>
        </w:rPr>
      </w:pPr>
      <w:r w:rsidRPr="006A7B10">
        <w:rPr>
          <w:b/>
        </w:rPr>
        <w:t>Cognition and General Knowledge</w:t>
      </w:r>
    </w:p>
    <w:p w:rsidR="006A7B10" w:rsidRPr="006A7B10" w:rsidRDefault="006A7B10" w:rsidP="006A7B10">
      <w:r w:rsidRPr="006A7B10">
        <w:t>Early Head Start Infants and Toddlers Will:</w:t>
      </w:r>
    </w:p>
    <w:p w:rsidR="006A7B10" w:rsidRPr="006A7B10" w:rsidRDefault="006A7B10" w:rsidP="006A7B10">
      <w:pPr>
        <w:numPr>
          <w:ilvl w:val="0"/>
          <w:numId w:val="5"/>
        </w:numPr>
        <w:rPr>
          <w:b/>
        </w:rPr>
      </w:pPr>
      <w:r w:rsidRPr="006A7B10">
        <w:t>Develop a foundation in mathematical thinking and number concepts.</w:t>
      </w:r>
    </w:p>
    <w:p w:rsidR="006A7B10" w:rsidRPr="006A7B10" w:rsidRDefault="006A7B10" w:rsidP="006A7B10">
      <w:pPr>
        <w:numPr>
          <w:ilvl w:val="0"/>
          <w:numId w:val="5"/>
        </w:numPr>
        <w:rPr>
          <w:b/>
        </w:rPr>
      </w:pPr>
      <w:r w:rsidRPr="006A7B10">
        <w:t>Observe, explore, question, and use language to describe their environment.</w:t>
      </w:r>
    </w:p>
    <w:p w:rsidR="006A7B10" w:rsidRPr="006A7B10" w:rsidRDefault="006A7B10" w:rsidP="006A7B10">
      <w:pPr>
        <w:numPr>
          <w:ilvl w:val="0"/>
          <w:numId w:val="5"/>
        </w:numPr>
        <w:rPr>
          <w:b/>
        </w:rPr>
      </w:pPr>
      <w:r w:rsidRPr="006A7B10">
        <w:t>Develop age-appropriate reasoning and memory skills.</w:t>
      </w:r>
    </w:p>
    <w:p w:rsidR="00D50122" w:rsidRDefault="00D50122" w:rsidP="006A7B10">
      <w:pPr>
        <w:rPr>
          <w:b/>
        </w:rPr>
      </w:pPr>
    </w:p>
    <w:p w:rsidR="001B33EB" w:rsidRDefault="001B33EB" w:rsidP="006A7B10">
      <w:pPr>
        <w:rPr>
          <w:b/>
        </w:rPr>
      </w:pPr>
    </w:p>
    <w:p w:rsidR="001B33EB" w:rsidRDefault="001B33EB" w:rsidP="006A7B10">
      <w:pPr>
        <w:rPr>
          <w:b/>
        </w:rPr>
      </w:pPr>
    </w:p>
    <w:p w:rsidR="006A7B10" w:rsidRPr="006A7B10" w:rsidRDefault="006A7B10" w:rsidP="006A7B10">
      <w:pPr>
        <w:rPr>
          <w:b/>
        </w:rPr>
      </w:pPr>
      <w:r w:rsidRPr="006A7B10">
        <w:rPr>
          <w:b/>
        </w:rPr>
        <w:t>Approaches to Learning</w:t>
      </w:r>
    </w:p>
    <w:p w:rsidR="006A7B10" w:rsidRPr="006A7B10" w:rsidRDefault="006A7B10" w:rsidP="006A7B10">
      <w:pPr>
        <w:rPr>
          <w:b/>
        </w:rPr>
      </w:pPr>
      <w:r w:rsidRPr="006A7B10">
        <w:t>Early Head Start Infants and Toddlers Will:</w:t>
      </w:r>
      <w:r w:rsidRPr="006A7B10">
        <w:rPr>
          <w:b/>
        </w:rPr>
        <w:t xml:space="preserve"> </w:t>
      </w:r>
    </w:p>
    <w:p w:rsidR="006A7B10" w:rsidRPr="006A7B10" w:rsidRDefault="006A7B10" w:rsidP="006A7B10">
      <w:pPr>
        <w:numPr>
          <w:ilvl w:val="0"/>
          <w:numId w:val="4"/>
        </w:numPr>
      </w:pPr>
      <w:r w:rsidRPr="006A7B10">
        <w:t xml:space="preserve">Develop a sense of curiosity in learning new things. </w:t>
      </w:r>
    </w:p>
    <w:p w:rsidR="006A7B10" w:rsidRPr="006A7B10" w:rsidRDefault="006A7B10" w:rsidP="006A7B10">
      <w:pPr>
        <w:numPr>
          <w:ilvl w:val="0"/>
          <w:numId w:val="4"/>
        </w:numPr>
      </w:pPr>
      <w:r w:rsidRPr="006A7B10">
        <w:t>Begin to develop the ability to persist in classroom activities and task.</w:t>
      </w:r>
    </w:p>
    <w:p w:rsidR="006A7B10" w:rsidRPr="006A7B10" w:rsidRDefault="006A7B10" w:rsidP="006A7B10">
      <w:pPr>
        <w:numPr>
          <w:ilvl w:val="0"/>
          <w:numId w:val="4"/>
        </w:numPr>
      </w:pPr>
      <w:r w:rsidRPr="006A7B10">
        <w:t xml:space="preserve">Begin to develop creative solutions to solve problems. </w:t>
      </w:r>
    </w:p>
    <w:p w:rsidR="006A7B10" w:rsidRPr="006A7B10" w:rsidRDefault="006A7B10" w:rsidP="006A7B10">
      <w:pPr>
        <w:rPr>
          <w:b/>
        </w:rPr>
      </w:pPr>
    </w:p>
    <w:p w:rsidR="006A7B10" w:rsidRPr="006A7B10" w:rsidRDefault="006A7B10" w:rsidP="00D50122">
      <w:pPr>
        <w:jc w:val="center"/>
        <w:rPr>
          <w:b/>
        </w:rPr>
      </w:pPr>
      <w:r w:rsidRPr="006A7B10">
        <w:rPr>
          <w:b/>
        </w:rPr>
        <w:t>Emanuel County Early Head Start School Readiness Data Aggregation</w:t>
      </w:r>
    </w:p>
    <w:p w:rsidR="006A7B10" w:rsidRPr="006A7B10" w:rsidRDefault="006A7B10" w:rsidP="00D50122">
      <w:pPr>
        <w:jc w:val="center"/>
        <w:rPr>
          <w:b/>
        </w:rPr>
      </w:pPr>
      <w:r w:rsidRPr="006A7B10">
        <w:rPr>
          <w:b/>
        </w:rPr>
        <w:t>3rd Data Aggregation June, July, and August 2017</w:t>
      </w:r>
    </w:p>
    <w:p w:rsidR="006A7B10" w:rsidRPr="006A7B10" w:rsidRDefault="006A7B10" w:rsidP="006A7B10">
      <w:pPr>
        <w:rPr>
          <w:b/>
        </w:rPr>
      </w:pPr>
      <w:r w:rsidRPr="006A7B10">
        <w:rPr>
          <w:b/>
        </w:rPr>
        <w:t>Classroom Data</w:t>
      </w:r>
    </w:p>
    <w:p w:rsidR="006A7B10" w:rsidRPr="006A7B10" w:rsidRDefault="006A7B10" w:rsidP="006A7B10">
      <w:r w:rsidRPr="006A7B10">
        <w:t>*6 out of 6 classrooms have child/children with IFSP and/or IEP</w:t>
      </w:r>
    </w:p>
    <w:p w:rsidR="006A7B10" w:rsidRPr="006A7B10" w:rsidRDefault="006A7B10" w:rsidP="006A7B10">
      <w:r w:rsidRPr="006A7B10">
        <w:t>*0 out of 6 classrooms have 0 children with IFSP/IEP</w:t>
      </w:r>
    </w:p>
    <w:p w:rsidR="006A7B10" w:rsidRPr="006A7B10" w:rsidRDefault="006A7B10" w:rsidP="006A7B10">
      <w:r w:rsidRPr="006A7B10">
        <w:t xml:space="preserve">Analysis of classroom screening and assessment data, based on the Ounce Scale indicators for prescribed age levels present in each classroom, and attendance, revealed that all children were developing as expected, with the exception of children with an IFSP, IEP, or delay on Ages and Stages, Ages and Stages: Social-Emotional screening tool. Assessment age levels are birth to 4 months, 4-8 months, 8-12 months, 12-18 months, 18-24 months, 24-30 months, 30-36 months, and 36-42 months.  </w:t>
      </w:r>
    </w:p>
    <w:p w:rsidR="006A7B10" w:rsidRPr="006A7B10" w:rsidRDefault="006A7B10" w:rsidP="006A7B10">
      <w:pPr>
        <w:rPr>
          <w:b/>
        </w:rPr>
      </w:pPr>
    </w:p>
    <w:p w:rsidR="006A7B10" w:rsidRPr="006A7B10" w:rsidRDefault="006A7B10" w:rsidP="006A7B10">
      <w:pPr>
        <w:rPr>
          <w:b/>
        </w:rPr>
      </w:pPr>
      <w:r w:rsidRPr="006A7B10">
        <w:rPr>
          <w:b/>
        </w:rPr>
        <w:t>Program-Wide Data</w:t>
      </w:r>
    </w:p>
    <w:p w:rsidR="006A7B10" w:rsidRPr="006A7B10" w:rsidRDefault="006A7B10" w:rsidP="006A7B10">
      <w:r w:rsidRPr="006A7B10">
        <w:t>*Program- level data aggregation included 15 Infants, 16 one-year-olds, 17 two-year- olds, and 23 three-year-olds</w:t>
      </w:r>
    </w:p>
    <w:p w:rsidR="006A7B10" w:rsidRPr="006A7B10" w:rsidRDefault="006A7B10" w:rsidP="006A7B10">
      <w:r w:rsidRPr="006A7B10">
        <w:t>*7 Children have IFSP and 5 child has an IEP</w:t>
      </w:r>
    </w:p>
    <w:p w:rsidR="006A7B10" w:rsidRPr="006A7B10" w:rsidRDefault="006A7B10" w:rsidP="006A7B10">
      <w:r w:rsidRPr="006A7B10">
        <w:t xml:space="preserve">*57 children are developing as expected and 14 need development. 71 children were enrolled June through August. Five girls out of 33 need development and 9 boys out of 38 need development. </w:t>
      </w:r>
    </w:p>
    <w:p w:rsidR="006A7B10" w:rsidRPr="006A7B10" w:rsidRDefault="006A7B10" w:rsidP="006A7B10">
      <w:r w:rsidRPr="006A7B10">
        <w:t>*Program-level data aggregation reported 0 infants need development, 1 one-year-old needs development, 6 two-year-olds need development, and 7 three-year-olds need development.</w:t>
      </w:r>
    </w:p>
    <w:p w:rsidR="006A7B10" w:rsidRPr="006A7B10" w:rsidRDefault="006A7B10" w:rsidP="006A7B10"/>
    <w:p w:rsidR="006A7B10" w:rsidRPr="006A7B10" w:rsidRDefault="006A7B10" w:rsidP="006A7B10">
      <w:r w:rsidRPr="006A7B10">
        <w:t xml:space="preserve">Serving children in mixed-age classrooms results in enrolling infants and toddlers throughout the program year. Therefore, date of enrollment and age of child impacts the ratings on the child’s School Readiness benchmarks. </w:t>
      </w:r>
    </w:p>
    <w:p w:rsidR="006A7B10" w:rsidRDefault="006A7B10" w:rsidP="006A7B10">
      <w:r w:rsidRPr="006A7B10">
        <w:rPr>
          <w:noProof/>
        </w:rPr>
        <w:lastRenderedPageBreak/>
        <w:drawing>
          <wp:anchor distT="0" distB="0" distL="114300" distR="114300" simplePos="0" relativeHeight="251660288" behindDoc="0" locked="0" layoutInCell="1" allowOverlap="1" wp14:anchorId="214BC148" wp14:editId="7242AE8F">
            <wp:simplePos x="914400" y="7048500"/>
            <wp:positionH relativeFrom="margin">
              <wp:align>left</wp:align>
            </wp:positionH>
            <wp:positionV relativeFrom="paragraph">
              <wp:align>top</wp:align>
            </wp:positionV>
            <wp:extent cx="3371850" cy="1857375"/>
            <wp:effectExtent l="0" t="0" r="0" b="9525"/>
            <wp:wrapSquare wrapText="bothSides"/>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sidRPr="006A7B10">
        <w:br/>
      </w:r>
    </w:p>
    <w:p w:rsidR="006A7B10" w:rsidRDefault="006A7B10" w:rsidP="006A7B10"/>
    <w:p w:rsidR="006A7B10" w:rsidRDefault="006A7B10" w:rsidP="006A7B10"/>
    <w:p w:rsidR="006A7B10" w:rsidRDefault="006A7B10" w:rsidP="006A7B10"/>
    <w:p w:rsidR="006A7B10" w:rsidRDefault="006A7B10" w:rsidP="006A7B10"/>
    <w:p w:rsidR="006A7B10" w:rsidRDefault="006A7B10" w:rsidP="006A7B10"/>
    <w:p w:rsidR="006A7B10" w:rsidRDefault="006A7B10" w:rsidP="006A7B10"/>
    <w:p w:rsidR="006A7B10" w:rsidRPr="006A7B10" w:rsidRDefault="006A7B10" w:rsidP="006A7B10"/>
    <w:p w:rsidR="006A7B10" w:rsidRPr="006A7B10" w:rsidRDefault="006A7B10" w:rsidP="006A7B10">
      <w:r w:rsidRPr="006A7B10">
        <w:rPr>
          <w:noProof/>
        </w:rPr>
        <w:drawing>
          <wp:anchor distT="0" distB="0" distL="114300" distR="114300" simplePos="0" relativeHeight="251659264" behindDoc="0" locked="0" layoutInCell="1" allowOverlap="1" wp14:anchorId="032FA820" wp14:editId="565196FC">
            <wp:simplePos x="0" y="0"/>
            <wp:positionH relativeFrom="margin">
              <wp:align>left</wp:align>
            </wp:positionH>
            <wp:positionV relativeFrom="paragraph">
              <wp:posOffset>9525</wp:posOffset>
            </wp:positionV>
            <wp:extent cx="3933825" cy="2695575"/>
            <wp:effectExtent l="0" t="0" r="9525" b="9525"/>
            <wp:wrapSquare wrapText="bothSides"/>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rsidR="006A7B10" w:rsidRPr="006A7B10" w:rsidRDefault="006A7B10" w:rsidP="006A7B10">
      <w:r w:rsidRPr="006A7B10">
        <w:br/>
        <w:t xml:space="preserve">           </w:t>
      </w:r>
    </w:p>
    <w:p w:rsidR="006A7B10" w:rsidRPr="006A7B10" w:rsidRDefault="006A7B10" w:rsidP="006A7B10">
      <w:r w:rsidRPr="006A7B10">
        <w:t xml:space="preserve">              </w:t>
      </w:r>
    </w:p>
    <w:p w:rsidR="006A7B10" w:rsidRPr="006A7B10" w:rsidRDefault="006A7B10" w:rsidP="006A7B10"/>
    <w:p w:rsidR="006A7B10" w:rsidRDefault="006A7B10" w:rsidP="006A7B10">
      <w:r w:rsidRPr="006A7B10">
        <w:rPr>
          <w:noProof/>
        </w:rPr>
        <w:drawing>
          <wp:inline distT="0" distB="0" distL="0" distR="0" wp14:anchorId="131A26B5" wp14:editId="6D4B9A1C">
            <wp:extent cx="3971925" cy="2800350"/>
            <wp:effectExtent l="0" t="0" r="9525"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50122" w:rsidRPr="006A7B10" w:rsidRDefault="00D50122" w:rsidP="006A7B10"/>
    <w:p w:rsidR="006A7B10" w:rsidRPr="006A7B10" w:rsidRDefault="006A7B10" w:rsidP="006A7B10">
      <w:r w:rsidRPr="006A7B10">
        <w:t xml:space="preserve">               </w:t>
      </w:r>
    </w:p>
    <w:p w:rsidR="006A7B10" w:rsidRPr="006A7B10" w:rsidRDefault="006A7B10" w:rsidP="006A7B10">
      <w:r w:rsidRPr="006A7B10">
        <w:rPr>
          <w:noProof/>
        </w:rPr>
        <w:drawing>
          <wp:inline distT="0" distB="0" distL="0" distR="0" wp14:anchorId="08641265" wp14:editId="022267AA">
            <wp:extent cx="3352800" cy="2324100"/>
            <wp:effectExtent l="19050" t="0" r="19050"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A7B10" w:rsidRPr="006A7B10" w:rsidRDefault="006A7B10" w:rsidP="006A7B10"/>
    <w:p w:rsidR="006A7B10" w:rsidRPr="006A7B10" w:rsidRDefault="006A7B10" w:rsidP="006A7B10">
      <w:r w:rsidRPr="006A7B10">
        <w:rPr>
          <w:noProof/>
        </w:rPr>
        <w:drawing>
          <wp:inline distT="0" distB="0" distL="0" distR="0" wp14:anchorId="7CEF965B" wp14:editId="0E682AB5">
            <wp:extent cx="3362325" cy="2133600"/>
            <wp:effectExtent l="0" t="0" r="9525"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A7B10" w:rsidRPr="006A7B10" w:rsidRDefault="006A7B10" w:rsidP="006A7B10"/>
    <w:p w:rsidR="006A7B10" w:rsidRPr="006A7B10" w:rsidRDefault="006A7B10" w:rsidP="006A7B10">
      <w:r w:rsidRPr="006A7B10">
        <w:rPr>
          <w:noProof/>
        </w:rPr>
        <w:drawing>
          <wp:inline distT="0" distB="0" distL="0" distR="0" wp14:anchorId="4D3B1FB8" wp14:editId="703CB7FF">
            <wp:extent cx="3352800" cy="2190750"/>
            <wp:effectExtent l="0" t="0" r="0" b="0"/>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603D4" w:rsidRDefault="009603D4"/>
    <w:sectPr w:rsidR="00960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1459"/>
    <w:multiLevelType w:val="hybridMultilevel"/>
    <w:tmpl w:val="A52064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4F1C8D"/>
    <w:multiLevelType w:val="hybridMultilevel"/>
    <w:tmpl w:val="9724B16A"/>
    <w:lvl w:ilvl="0" w:tplc="54D49F60">
      <w:start w:val="1"/>
      <w:numFmt w:val="decimal"/>
      <w:suff w:val="nothing"/>
      <w:lvlText w:val="%1.)"/>
      <w:lvlJc w:val="left"/>
      <w:pPr>
        <w:ind w:left="0" w:firstLine="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0618C"/>
    <w:multiLevelType w:val="hybridMultilevel"/>
    <w:tmpl w:val="27D2EF2A"/>
    <w:lvl w:ilvl="0" w:tplc="B442C8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755421"/>
    <w:multiLevelType w:val="hybridMultilevel"/>
    <w:tmpl w:val="D50A7BE2"/>
    <w:lvl w:ilvl="0" w:tplc="0CCC52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A174D1"/>
    <w:multiLevelType w:val="hybridMultilevel"/>
    <w:tmpl w:val="E4542E5A"/>
    <w:lvl w:ilvl="0" w:tplc="9C2026A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9C55E1"/>
    <w:multiLevelType w:val="hybridMultilevel"/>
    <w:tmpl w:val="8D4E6F3C"/>
    <w:lvl w:ilvl="0" w:tplc="B0F2D1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D866480"/>
    <w:multiLevelType w:val="hybridMultilevel"/>
    <w:tmpl w:val="0DCA732A"/>
    <w:lvl w:ilvl="0" w:tplc="89A886C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E721E61"/>
    <w:multiLevelType w:val="hybridMultilevel"/>
    <w:tmpl w:val="B39AA2E4"/>
    <w:lvl w:ilvl="0" w:tplc="848C62B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10"/>
    <w:rsid w:val="00003312"/>
    <w:rsid w:val="00176AF7"/>
    <w:rsid w:val="001B33EB"/>
    <w:rsid w:val="003823CE"/>
    <w:rsid w:val="005434F2"/>
    <w:rsid w:val="005F32F3"/>
    <w:rsid w:val="00612B3D"/>
    <w:rsid w:val="00637B17"/>
    <w:rsid w:val="006A7B10"/>
    <w:rsid w:val="007C7A1C"/>
    <w:rsid w:val="009603D4"/>
    <w:rsid w:val="00BF4D62"/>
    <w:rsid w:val="00D50122"/>
    <w:rsid w:val="00EC0B44"/>
    <w:rsid w:val="00F03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54BDA37B-6097-4D59-AD52-E6E057DD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7B10"/>
    <w:pPr>
      <w:spacing w:after="0" w:line="240" w:lineRule="auto"/>
    </w:pPr>
  </w:style>
  <w:style w:type="paragraph" w:styleId="BalloonText">
    <w:name w:val="Balloon Text"/>
    <w:basedOn w:val="Normal"/>
    <w:link w:val="BalloonTextChar"/>
    <w:uiPriority w:val="99"/>
    <w:semiHidden/>
    <w:unhideWhenUsed/>
    <w:rsid w:val="00BF4D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D62"/>
    <w:rPr>
      <w:rFonts w:ascii="Segoe UI" w:hAnsi="Segoe UI" w:cs="Segoe UI"/>
      <w:sz w:val="18"/>
      <w:szCs w:val="18"/>
    </w:rPr>
  </w:style>
  <w:style w:type="table" w:styleId="TableGrid">
    <w:name w:val="Table Grid"/>
    <w:basedOn w:val="TableNormal"/>
    <w:uiPriority w:val="39"/>
    <w:rsid w:val="00543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EHS Enrollment</a:t>
            </a:r>
          </a:p>
          <a:p>
            <a:pPr>
              <a:defRPr/>
            </a:pPr>
            <a:r>
              <a:rPr lang="en-US"/>
              <a:t> (Male and Female)</a:t>
            </a:r>
          </a:p>
        </c:rich>
      </c:tx>
      <c:layout>
        <c:manualLayout>
          <c:xMode val="edge"/>
          <c:yMode val="edge"/>
          <c:x val="0.43260821210907957"/>
          <c:y val="2.735042735042735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School Readiness Comparison Chart for Boys &amp; Girls</c:v>
                </c:pt>
              </c:strCache>
            </c:strRef>
          </c:tx>
          <c:cat>
            <c:strRef>
              <c:f>Sheet1!$A$2:$A$5</c:f>
              <c:strCache>
                <c:ptCount val="2"/>
                <c:pt idx="0">
                  <c:v>Girls (33)</c:v>
                </c:pt>
                <c:pt idx="1">
                  <c:v>Boys  (38)</c:v>
                </c:pt>
              </c:strCache>
            </c:strRef>
          </c:cat>
          <c:val>
            <c:numRef>
              <c:f>Sheet1!$B$2:$B$5</c:f>
              <c:numCache>
                <c:formatCode>General</c:formatCode>
                <c:ptCount val="4"/>
                <c:pt idx="0">
                  <c:v>33</c:v>
                </c:pt>
                <c:pt idx="1">
                  <c:v>38</c:v>
                </c:pt>
              </c:numCache>
            </c:numRef>
          </c:val>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Average Attendance All</a:t>
            </a:r>
            <a:r>
              <a:rPr lang="en-US" baseline="0"/>
              <a:t> Children</a:t>
            </a:r>
            <a:endParaRPr lang="en-US"/>
          </a:p>
        </c:rich>
      </c:tx>
      <c:overlay val="0"/>
    </c:title>
    <c:autoTitleDeleted val="0"/>
    <c:plotArea>
      <c:layout>
        <c:manualLayout>
          <c:layoutTarget val="inner"/>
          <c:xMode val="edge"/>
          <c:yMode val="edge"/>
          <c:x val="9.3099718467394968E-2"/>
          <c:y val="0.24958793578364541"/>
          <c:w val="0.51420487693275629"/>
          <c:h val="0.75041206421635454"/>
        </c:manualLayout>
      </c:layout>
      <c:pieChart>
        <c:varyColors val="1"/>
        <c:ser>
          <c:idx val="0"/>
          <c:order val="0"/>
          <c:tx>
            <c:strRef>
              <c:f>Sheet1!$B$1</c:f>
              <c:strCache>
                <c:ptCount val="1"/>
                <c:pt idx="0">
                  <c:v>Average Attendance</c:v>
                </c:pt>
              </c:strCache>
            </c:strRef>
          </c:tx>
          <c:explosion val="25"/>
          <c:cat>
            <c:strRef>
              <c:f>Sheet1!$A$2:$A$5</c:f>
              <c:strCache>
                <c:ptCount val="2"/>
                <c:pt idx="0">
                  <c:v>Above 85% (28)</c:v>
                </c:pt>
                <c:pt idx="1">
                  <c:v>Below 85% (43)</c:v>
                </c:pt>
              </c:strCache>
            </c:strRef>
          </c:cat>
          <c:val>
            <c:numRef>
              <c:f>Sheet1!$B$2:$B$5</c:f>
              <c:numCache>
                <c:formatCode>General</c:formatCode>
                <c:ptCount val="4"/>
                <c:pt idx="0">
                  <c:v>28</c:v>
                </c:pt>
                <c:pt idx="1">
                  <c:v>43</c:v>
                </c:pt>
              </c:numCache>
            </c:numRef>
          </c:val>
        </c:ser>
        <c:dLbls>
          <c:showLegendKey val="0"/>
          <c:showVal val="0"/>
          <c:showCatName val="0"/>
          <c:showSerName val="0"/>
          <c:showPercent val="0"/>
          <c:showBubbleSize val="0"/>
          <c:showLeaderLines val="1"/>
        </c:dLbls>
        <c:firstSliceAng val="0"/>
      </c:pieChart>
    </c:plotArea>
    <c:legend>
      <c:legendPos val="r"/>
      <c:legendEntry>
        <c:idx val="2"/>
        <c:delete val="1"/>
      </c:legendEntry>
      <c:legendEntry>
        <c:idx val="3"/>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Average Attendance </a:t>
            </a:r>
          </a:p>
          <a:p>
            <a:pPr>
              <a:defRPr/>
            </a:pPr>
            <a:r>
              <a:rPr lang="en-US"/>
              <a:t>Male and Female</a:t>
            </a:r>
          </a:p>
        </c:rich>
      </c:tx>
      <c:layout>
        <c:manualLayout>
          <c:xMode val="edge"/>
          <c:yMode val="edge"/>
          <c:x val="0.19685341490587058"/>
          <c:y val="5.7347831521059871E-2"/>
        </c:manualLayout>
      </c:layout>
      <c:overlay val="0"/>
    </c:title>
    <c:autoTitleDeleted val="0"/>
    <c:plotArea>
      <c:layout/>
      <c:pieChart>
        <c:varyColors val="1"/>
        <c:ser>
          <c:idx val="0"/>
          <c:order val="0"/>
          <c:tx>
            <c:strRef>
              <c:f>Sheet1!$B$1</c:f>
              <c:strCache>
                <c:ptCount val="1"/>
                <c:pt idx="0">
                  <c:v>Average Attendance</c:v>
                </c:pt>
              </c:strCache>
            </c:strRef>
          </c:tx>
          <c:explosion val="25"/>
          <c:cat>
            <c:strRef>
              <c:f>Sheet1!$A$2:$A$8</c:f>
              <c:strCache>
                <c:ptCount val="7"/>
                <c:pt idx="0">
                  <c:v>Girls Above 85% (14)</c:v>
                </c:pt>
                <c:pt idx="1">
                  <c:v>Girls Below 85% (20)</c:v>
                </c:pt>
                <c:pt idx="2">
                  <c:v>Boys Above 85%(14)</c:v>
                </c:pt>
                <c:pt idx="4">
                  <c:v>Boys Below 85%(23)</c:v>
                </c:pt>
                <c:pt idx="5">
                  <c:v>Boys 100% (2)</c:v>
                </c:pt>
                <c:pt idx="6">
                  <c:v>Girls 100%(5)</c:v>
                </c:pt>
              </c:strCache>
            </c:strRef>
          </c:cat>
          <c:val>
            <c:numRef>
              <c:f>Sheet1!$B$2:$B$8</c:f>
              <c:numCache>
                <c:formatCode>General</c:formatCode>
                <c:ptCount val="7"/>
                <c:pt idx="0">
                  <c:v>14</c:v>
                </c:pt>
                <c:pt idx="1">
                  <c:v>20</c:v>
                </c:pt>
                <c:pt idx="2">
                  <c:v>14</c:v>
                </c:pt>
                <c:pt idx="4">
                  <c:v>23</c:v>
                </c:pt>
                <c:pt idx="5">
                  <c:v>2</c:v>
                </c:pt>
                <c:pt idx="6">
                  <c:v>5</c:v>
                </c:pt>
              </c:numCache>
            </c:numRef>
          </c:val>
        </c:ser>
        <c:dLbls>
          <c:showLegendKey val="0"/>
          <c:showVal val="0"/>
          <c:showCatName val="0"/>
          <c:showSerName val="0"/>
          <c:showPercent val="0"/>
          <c:showBubbleSize val="0"/>
          <c:showLeaderLines val="1"/>
        </c:dLbls>
        <c:firstSliceAng val="0"/>
      </c:pieChart>
    </c:plotArea>
    <c:legend>
      <c:legendPos val="r"/>
      <c:legendEntry>
        <c:idx val="3"/>
        <c:delete val="1"/>
      </c:legendEntry>
      <c:layout>
        <c:manualLayout>
          <c:xMode val="edge"/>
          <c:yMode val="edge"/>
          <c:x val="0.66292346158152027"/>
          <c:y val="0.45034506869543889"/>
          <c:w val="0.31811919244691572"/>
          <c:h val="0.29268274865244231"/>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Assessment Data </a:t>
            </a:r>
          </a:p>
          <a:p>
            <a:pPr>
              <a:defRPr/>
            </a:pPr>
            <a:r>
              <a:rPr lang="en-US"/>
              <a:t>All</a:t>
            </a:r>
            <a:r>
              <a:rPr lang="en-US" baseline="0"/>
              <a:t> Children</a:t>
            </a:r>
            <a:endParaRPr lang="en-US"/>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Assessment Data</c:v>
                </c:pt>
              </c:strCache>
            </c:strRef>
          </c:tx>
          <c:explosion val="25"/>
          <c:cat>
            <c:strRef>
              <c:f>Sheet1!$A$2:$A$5</c:f>
              <c:strCache>
                <c:ptCount val="4"/>
                <c:pt idx="0">
                  <c:v>Developing as Expected (57)</c:v>
                </c:pt>
                <c:pt idx="1">
                  <c:v>Needs Development (14)</c:v>
                </c:pt>
                <c:pt idx="2">
                  <c:v>IFSP (7)</c:v>
                </c:pt>
                <c:pt idx="3">
                  <c:v>IEP (5)</c:v>
                </c:pt>
              </c:strCache>
            </c:strRef>
          </c:cat>
          <c:val>
            <c:numRef>
              <c:f>Sheet1!$B$2:$B$5</c:f>
              <c:numCache>
                <c:formatCode>General</c:formatCode>
                <c:ptCount val="4"/>
                <c:pt idx="0">
                  <c:v>57</c:v>
                </c:pt>
                <c:pt idx="1">
                  <c:v>14</c:v>
                </c:pt>
                <c:pt idx="2">
                  <c:v>7</c:v>
                </c:pt>
                <c:pt idx="3">
                  <c:v>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Needs Development</a:t>
            </a:r>
          </a:p>
          <a:p>
            <a:pPr>
              <a:defRPr/>
            </a:pPr>
            <a:r>
              <a:rPr lang="en-US"/>
              <a:t>(Comparision</a:t>
            </a:r>
            <a:r>
              <a:rPr lang="en-US" baseline="0"/>
              <a:t> by Sex)</a:t>
            </a:r>
            <a:endParaRPr lang="en-US"/>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Comparison Chart For Boys &amp; Girls with Needs Development</c:v>
                </c:pt>
              </c:strCache>
            </c:strRef>
          </c:tx>
          <c:explosion val="25"/>
          <c:cat>
            <c:strRef>
              <c:f>Sheet1!$A$2:$A$5</c:f>
              <c:strCache>
                <c:ptCount val="2"/>
                <c:pt idx="0">
                  <c:v>Girls (5)</c:v>
                </c:pt>
                <c:pt idx="1">
                  <c:v>Boys (9)</c:v>
                </c:pt>
              </c:strCache>
            </c:strRef>
          </c:cat>
          <c:val>
            <c:numRef>
              <c:f>Sheet1!$B$2:$B$5</c:f>
              <c:numCache>
                <c:formatCode>General</c:formatCode>
                <c:ptCount val="4"/>
                <c:pt idx="0">
                  <c:v>5</c:v>
                </c:pt>
                <c:pt idx="1">
                  <c:v>9</c:v>
                </c:pt>
              </c:numCache>
            </c:numRef>
          </c:val>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Needs Development (Attendance)</a:t>
            </a:r>
            <a:br>
              <a:rPr lang="en-US"/>
            </a:br>
            <a:endParaRPr lang="en-US"/>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Children with Needs Development Attendance</c:v>
                </c:pt>
              </c:strCache>
            </c:strRef>
          </c:tx>
          <c:explosion val="25"/>
          <c:cat>
            <c:strRef>
              <c:f>Sheet1!$A$2:$A$5</c:f>
              <c:strCache>
                <c:ptCount val="2"/>
                <c:pt idx="0">
                  <c:v>Above 85% (4)</c:v>
                </c:pt>
                <c:pt idx="1">
                  <c:v>Below 85% (10) </c:v>
                </c:pt>
              </c:strCache>
            </c:strRef>
          </c:cat>
          <c:val>
            <c:numRef>
              <c:f>Sheet1!$B$2:$B$5</c:f>
              <c:numCache>
                <c:formatCode>General</c:formatCode>
                <c:ptCount val="4"/>
                <c:pt idx="0">
                  <c:v>4</c:v>
                </c:pt>
                <c:pt idx="1">
                  <c:v>10</c:v>
                </c:pt>
              </c:numCache>
            </c:numRef>
          </c:val>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Emaunel County Schools</Company>
  <LinksUpToDate>false</LinksUpToDate>
  <CharactersWithSpaces>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Childs</dc:creator>
  <cp:keywords/>
  <dc:description/>
  <cp:lastModifiedBy>Christy Ellington</cp:lastModifiedBy>
  <cp:revision>2</cp:revision>
  <cp:lastPrinted>2017-10-10T15:53:00Z</cp:lastPrinted>
  <dcterms:created xsi:type="dcterms:W3CDTF">2017-10-10T18:31:00Z</dcterms:created>
  <dcterms:modified xsi:type="dcterms:W3CDTF">2017-10-10T18:31:00Z</dcterms:modified>
</cp:coreProperties>
</file>