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AC" w:rsidRPr="00D87F51" w:rsidRDefault="00DD1DAC" w:rsidP="00DD1DAC">
      <w:pPr>
        <w:pStyle w:val="Title"/>
        <w:rPr>
          <w:rFonts w:asciiTheme="minorHAnsi" w:hAnsiTheme="minorHAnsi" w:cstheme="minorHAnsi"/>
          <w:color w:val="7F7F7F" w:themeColor="text1" w:themeTint="80"/>
          <w:sz w:val="48"/>
        </w:rPr>
      </w:pPr>
      <w:r w:rsidRPr="00D87F51">
        <w:rPr>
          <w:rFonts w:asciiTheme="minorHAnsi" w:hAnsiTheme="minorHAnsi" w:cstheme="minorHAnsi"/>
          <w:color w:val="7F7F7F" w:themeColor="text1" w:themeTint="80"/>
          <w:sz w:val="48"/>
        </w:rPr>
        <w:t>Lakota Local School District – Request for Quote</w:t>
      </w:r>
    </w:p>
    <w:p w:rsidR="00DD1DAC" w:rsidRDefault="00DD1DAC" w:rsidP="00DD1DAC">
      <w:pPr>
        <w:ind w:right="900"/>
        <w:jc w:val="center"/>
        <w:rPr>
          <w:noProof/>
        </w:rPr>
      </w:pPr>
      <w:r>
        <w:rPr>
          <w:noProof/>
        </w:rPr>
        <w:drawing>
          <wp:inline distT="0" distB="0" distL="0" distR="0" wp14:anchorId="72429E92" wp14:editId="00CA39D5">
            <wp:extent cx="1864360" cy="78876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903" cy="7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AC" w:rsidRPr="007F0D97" w:rsidRDefault="00DD1DAC" w:rsidP="00DD1DAC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TITLE: </w:t>
      </w:r>
      <w:r w:rsidRPr="007F0D97">
        <w:rPr>
          <w:b/>
          <w:sz w:val="32"/>
        </w:rPr>
        <w:t xml:space="preserve">CLASSROOM SUPPLY KIT REQUEST FOR </w:t>
      </w:r>
      <w:r>
        <w:rPr>
          <w:b/>
          <w:sz w:val="32"/>
        </w:rPr>
        <w:t>QUOTE</w:t>
      </w:r>
    </w:p>
    <w:p w:rsidR="00DD1DAC" w:rsidRPr="00DF67D7" w:rsidRDefault="00DD1DAC" w:rsidP="00DD1DAC">
      <w:pPr>
        <w:jc w:val="center"/>
        <w:rPr>
          <w:b/>
          <w:sz w:val="32"/>
        </w:rPr>
      </w:pPr>
      <w:r w:rsidRPr="00DF67D7">
        <w:rPr>
          <w:b/>
          <w:sz w:val="32"/>
        </w:rPr>
        <w:t>RF</w:t>
      </w:r>
      <w:r>
        <w:rPr>
          <w:b/>
          <w:sz w:val="32"/>
        </w:rPr>
        <w:t>Q</w:t>
      </w:r>
      <w:r w:rsidRPr="00DF67D7">
        <w:rPr>
          <w:b/>
          <w:sz w:val="32"/>
        </w:rPr>
        <w:t xml:space="preserve"> # L</w:t>
      </w:r>
      <w:r>
        <w:rPr>
          <w:b/>
          <w:sz w:val="32"/>
        </w:rPr>
        <w:t>L</w:t>
      </w:r>
      <w:r w:rsidRPr="00DF67D7">
        <w:rPr>
          <w:b/>
          <w:sz w:val="32"/>
        </w:rPr>
        <w:t>S</w:t>
      </w:r>
      <w:r>
        <w:rPr>
          <w:b/>
          <w:sz w:val="32"/>
        </w:rPr>
        <w:t>D</w:t>
      </w:r>
      <w:r w:rsidR="00170764">
        <w:rPr>
          <w:b/>
          <w:sz w:val="32"/>
        </w:rPr>
        <w:t>-2022</w:t>
      </w:r>
      <w:r w:rsidRPr="00DF67D7">
        <w:rPr>
          <w:b/>
          <w:sz w:val="32"/>
        </w:rPr>
        <w:t>-</w:t>
      </w:r>
      <w:r w:rsidR="001A021C">
        <w:rPr>
          <w:b/>
          <w:sz w:val="32"/>
        </w:rPr>
        <w:t>0225</w:t>
      </w:r>
    </w:p>
    <w:p w:rsidR="00DD1DAC" w:rsidRDefault="00DD1DAC" w:rsidP="00DD1DAC">
      <w:pPr>
        <w:jc w:val="center"/>
        <w:rPr>
          <w:b/>
          <w:sz w:val="28"/>
        </w:rPr>
      </w:pPr>
      <w:r w:rsidRPr="00DF67D7">
        <w:rPr>
          <w:b/>
          <w:sz w:val="28"/>
        </w:rPr>
        <w:t xml:space="preserve">Date Issued: </w:t>
      </w:r>
      <w:r w:rsidR="00170764">
        <w:rPr>
          <w:b/>
          <w:sz w:val="28"/>
        </w:rPr>
        <w:t xml:space="preserve">Thursday, February </w:t>
      </w:r>
      <w:r w:rsidR="00ED7C03">
        <w:rPr>
          <w:b/>
          <w:sz w:val="28"/>
        </w:rPr>
        <w:t>1</w:t>
      </w:r>
      <w:r w:rsidR="00170764">
        <w:rPr>
          <w:b/>
          <w:sz w:val="28"/>
        </w:rPr>
        <w:t>0, 2022</w:t>
      </w:r>
    </w:p>
    <w:p w:rsidR="00DD1DAC" w:rsidRDefault="00146C70" w:rsidP="00DD1DAC">
      <w:pPr>
        <w:jc w:val="center"/>
        <w:rPr>
          <w:b/>
          <w:sz w:val="28"/>
        </w:rPr>
      </w:pPr>
      <w:r>
        <w:rPr>
          <w:b/>
          <w:sz w:val="28"/>
        </w:rPr>
        <w:t xml:space="preserve">Questions/Answers </w:t>
      </w:r>
      <w:r w:rsidR="00F12156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D1DAC">
        <w:rPr>
          <w:b/>
          <w:sz w:val="28"/>
        </w:rPr>
        <w:t>Addendum</w:t>
      </w:r>
      <w:r w:rsidR="00C965EB">
        <w:rPr>
          <w:b/>
          <w:sz w:val="28"/>
        </w:rPr>
        <w:t xml:space="preserve"> </w:t>
      </w:r>
      <w:r w:rsidR="00F12156">
        <w:rPr>
          <w:b/>
          <w:sz w:val="28"/>
        </w:rPr>
        <w:t xml:space="preserve">#1 </w:t>
      </w:r>
      <w:r w:rsidR="00DD1DAC">
        <w:rPr>
          <w:b/>
          <w:sz w:val="28"/>
        </w:rPr>
        <w:t xml:space="preserve"> Issued: </w:t>
      </w:r>
      <w:r w:rsidR="00BC2333" w:rsidRPr="00BC2333">
        <w:rPr>
          <w:b/>
          <w:sz w:val="28"/>
          <w:highlight w:val="yellow"/>
        </w:rPr>
        <w:t>February 1</w:t>
      </w:r>
      <w:r w:rsidR="00420320">
        <w:rPr>
          <w:b/>
          <w:sz w:val="28"/>
          <w:highlight w:val="yellow"/>
        </w:rPr>
        <w:t>7</w:t>
      </w:r>
      <w:r w:rsidR="00BC2333" w:rsidRPr="00BC2333">
        <w:rPr>
          <w:b/>
          <w:sz w:val="28"/>
          <w:highlight w:val="yellow"/>
        </w:rPr>
        <w:t>, 2022</w:t>
      </w:r>
    </w:p>
    <w:p w:rsidR="00ED7C03" w:rsidRPr="00F11525" w:rsidRDefault="00ED7C03" w:rsidP="00ED7C0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Bidi"/>
          <w:b/>
          <w:sz w:val="24"/>
        </w:rPr>
      </w:pPr>
      <w:r w:rsidRPr="00F11525">
        <w:rPr>
          <w:rFonts w:asciiTheme="minorHAnsi" w:hAnsiTheme="minorHAnsi" w:cstheme="minorBidi"/>
          <w:b/>
          <w:sz w:val="24"/>
        </w:rPr>
        <w:t>Can you confirm the accepted brands supplied in 2021?</w:t>
      </w:r>
    </w:p>
    <w:p w:rsidR="00ED7C03" w:rsidRPr="00F11525" w:rsidRDefault="00ED7C03" w:rsidP="00D44052">
      <w:pPr>
        <w:ind w:left="720" w:hanging="270"/>
        <w:jc w:val="both"/>
        <w:rPr>
          <w:color w:val="FF0000"/>
          <w:sz w:val="24"/>
        </w:rPr>
      </w:pPr>
      <w:r w:rsidRPr="00F11525">
        <w:rPr>
          <w:b/>
          <w:sz w:val="24"/>
        </w:rPr>
        <w:tab/>
      </w:r>
      <w:r w:rsidR="00500DFF" w:rsidRPr="00F11525">
        <w:rPr>
          <w:color w:val="C00000"/>
          <w:sz w:val="24"/>
        </w:rPr>
        <w:t>Reference Attachment #5 “</w:t>
      </w:r>
      <w:r w:rsidR="00420320" w:rsidRPr="00F11525">
        <w:rPr>
          <w:color w:val="C00000"/>
          <w:sz w:val="24"/>
        </w:rPr>
        <w:t>Historical Dat</w:t>
      </w:r>
      <w:r w:rsidR="00951C31" w:rsidRPr="00F11525">
        <w:rPr>
          <w:color w:val="C00000"/>
          <w:sz w:val="24"/>
        </w:rPr>
        <w:t>a</w:t>
      </w:r>
      <w:r w:rsidR="00420320" w:rsidRPr="00F11525">
        <w:rPr>
          <w:color w:val="C00000"/>
          <w:sz w:val="24"/>
        </w:rPr>
        <w:t>”,</w:t>
      </w:r>
      <w:r w:rsidR="00951C31" w:rsidRPr="00F11525">
        <w:rPr>
          <w:color w:val="C00000"/>
          <w:sz w:val="24"/>
        </w:rPr>
        <w:t xml:space="preserve"> this document </w:t>
      </w:r>
      <w:r w:rsidR="00500DFF" w:rsidRPr="00F11525">
        <w:rPr>
          <w:color w:val="C00000"/>
          <w:sz w:val="24"/>
        </w:rPr>
        <w:t>has the individual item descriptions which in most cases indicate the brand that was accepted.</w:t>
      </w:r>
      <w:r w:rsidR="00951C31" w:rsidRPr="00F11525">
        <w:rPr>
          <w:color w:val="C00000"/>
          <w:sz w:val="24"/>
        </w:rPr>
        <w:t xml:space="preserve"> </w:t>
      </w:r>
    </w:p>
    <w:p w:rsidR="00ED7C03" w:rsidRPr="00F11525" w:rsidRDefault="00ED7C03" w:rsidP="00ED7C0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Bidi"/>
          <w:b/>
          <w:sz w:val="24"/>
        </w:rPr>
      </w:pPr>
      <w:r w:rsidRPr="00F11525">
        <w:rPr>
          <w:rFonts w:asciiTheme="minorHAnsi" w:hAnsiTheme="minorHAnsi" w:cstheme="minorBidi"/>
          <w:b/>
          <w:sz w:val="24"/>
        </w:rPr>
        <w:t>How will supplemental items be ordered?   Will a specific batch of items be ordered for every grade within a particular school, or will the supplemental items vary for every grade within each school?</w:t>
      </w:r>
    </w:p>
    <w:p w:rsidR="00500DFF" w:rsidRPr="00F11525" w:rsidRDefault="00D44052" w:rsidP="00D44052">
      <w:pPr>
        <w:ind w:left="720"/>
        <w:jc w:val="both"/>
        <w:rPr>
          <w:color w:val="C00000"/>
          <w:sz w:val="24"/>
        </w:rPr>
      </w:pPr>
      <w:r w:rsidRPr="00F11525">
        <w:rPr>
          <w:color w:val="C00000"/>
          <w:sz w:val="24"/>
        </w:rPr>
        <w:t>Order quantities will vary and e</w:t>
      </w:r>
      <w:r w:rsidR="00500DFF" w:rsidRPr="00F11525">
        <w:rPr>
          <w:color w:val="C00000"/>
          <w:sz w:val="24"/>
        </w:rPr>
        <w:t xml:space="preserve">ach building will select the “supplemental” items specific to their grade level and building. For planning purposes you can reference Attachment #2, column “B” which indicates the grades that requested the supplemental items. </w:t>
      </w:r>
    </w:p>
    <w:p w:rsidR="00ED7C03" w:rsidRPr="00F11525" w:rsidRDefault="00ED7C03" w:rsidP="00ED7C0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Bidi"/>
          <w:b/>
          <w:sz w:val="24"/>
        </w:rPr>
      </w:pPr>
      <w:r w:rsidRPr="00F11525">
        <w:rPr>
          <w:rFonts w:asciiTheme="minorHAnsi" w:hAnsiTheme="minorHAnsi" w:cstheme="minorBidi"/>
          <w:b/>
          <w:sz w:val="24"/>
        </w:rPr>
        <w:t>Do you need to see a sample of packaging to be used for supplemental items?</w:t>
      </w:r>
    </w:p>
    <w:p w:rsidR="00500DFF" w:rsidRPr="00F11525" w:rsidRDefault="002C442C" w:rsidP="00500DFF">
      <w:pPr>
        <w:rPr>
          <w:color w:val="FF0000"/>
          <w:sz w:val="24"/>
        </w:rPr>
      </w:pPr>
      <w:r w:rsidRPr="00F11525">
        <w:rPr>
          <w:b/>
          <w:sz w:val="24"/>
        </w:rPr>
        <w:tab/>
      </w:r>
      <w:r w:rsidR="007203C0" w:rsidRPr="00F11525">
        <w:rPr>
          <w:color w:val="C00000"/>
          <w:sz w:val="24"/>
        </w:rPr>
        <w:t>Yes, a</w:t>
      </w:r>
      <w:r w:rsidRPr="00F11525">
        <w:rPr>
          <w:color w:val="C00000"/>
          <w:sz w:val="24"/>
        </w:rPr>
        <w:t xml:space="preserve"> sample </w:t>
      </w:r>
      <w:r w:rsidR="007203C0" w:rsidRPr="00F11525">
        <w:rPr>
          <w:color w:val="C00000"/>
          <w:sz w:val="24"/>
        </w:rPr>
        <w:t>would be required</w:t>
      </w:r>
      <w:r w:rsidRPr="00F11525">
        <w:rPr>
          <w:color w:val="C00000"/>
          <w:sz w:val="24"/>
        </w:rPr>
        <w:t>.</w:t>
      </w:r>
    </w:p>
    <w:p w:rsidR="00ED7C03" w:rsidRPr="00F11525" w:rsidRDefault="00ED7C03" w:rsidP="00ED7C0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Bidi"/>
          <w:b/>
          <w:sz w:val="24"/>
        </w:rPr>
      </w:pPr>
      <w:r w:rsidRPr="00F11525">
        <w:rPr>
          <w:rFonts w:asciiTheme="minorHAnsi" w:hAnsiTheme="minorHAnsi" w:cstheme="minorBidi"/>
          <w:b/>
          <w:sz w:val="24"/>
        </w:rPr>
        <w:t>If bid is awarded by March 14, 2022, when will final quantities needed be released to the winning vendor?</w:t>
      </w:r>
    </w:p>
    <w:p w:rsidR="00951C31" w:rsidRPr="00F11525" w:rsidRDefault="00951C31" w:rsidP="00951C31">
      <w:pPr>
        <w:ind w:left="720"/>
        <w:jc w:val="both"/>
        <w:rPr>
          <w:color w:val="C00000"/>
          <w:sz w:val="24"/>
        </w:rPr>
      </w:pPr>
      <w:r w:rsidRPr="00F11525">
        <w:rPr>
          <w:color w:val="C00000"/>
          <w:sz w:val="24"/>
        </w:rPr>
        <w:t xml:space="preserve">We anticipate having the order quantities for the supplemental items between mid-April to early May. </w:t>
      </w:r>
      <w:r w:rsidRPr="00F11525">
        <w:rPr>
          <w:b/>
          <w:color w:val="C00000"/>
          <w:sz w:val="24"/>
        </w:rPr>
        <w:t xml:space="preserve"> </w:t>
      </w:r>
    </w:p>
    <w:p w:rsidR="00420320" w:rsidRPr="00F11525" w:rsidRDefault="002C442C" w:rsidP="00D44052">
      <w:pPr>
        <w:ind w:left="720"/>
        <w:jc w:val="both"/>
        <w:rPr>
          <w:color w:val="C00000"/>
          <w:sz w:val="24"/>
        </w:rPr>
      </w:pPr>
      <w:r w:rsidRPr="00F11525">
        <w:rPr>
          <w:color w:val="C00000"/>
          <w:sz w:val="24"/>
        </w:rPr>
        <w:t xml:space="preserve">The estimates included for kit quantities are subject to change in the months ahead.  We will communicate the </w:t>
      </w:r>
      <w:r w:rsidR="00951C31" w:rsidRPr="00F11525">
        <w:rPr>
          <w:color w:val="C00000"/>
          <w:sz w:val="24"/>
        </w:rPr>
        <w:t xml:space="preserve">“actual” </w:t>
      </w:r>
      <w:r w:rsidR="006A280D" w:rsidRPr="00F11525">
        <w:rPr>
          <w:color w:val="C00000"/>
          <w:sz w:val="24"/>
        </w:rPr>
        <w:t>order</w:t>
      </w:r>
      <w:r w:rsidRPr="00F11525">
        <w:rPr>
          <w:color w:val="C00000"/>
          <w:sz w:val="24"/>
        </w:rPr>
        <w:t xml:space="preserve"> </w:t>
      </w:r>
      <w:r w:rsidR="006A280D" w:rsidRPr="00F11525">
        <w:rPr>
          <w:color w:val="C00000"/>
          <w:sz w:val="24"/>
        </w:rPr>
        <w:t xml:space="preserve">quantities to the selected vendor </w:t>
      </w:r>
      <w:r w:rsidR="00F12156" w:rsidRPr="00F11525">
        <w:rPr>
          <w:color w:val="C00000"/>
          <w:sz w:val="24"/>
        </w:rPr>
        <w:t>as outline in question # 2 in this Addendum.</w:t>
      </w:r>
      <w:r w:rsidRPr="00F11525">
        <w:rPr>
          <w:color w:val="C00000"/>
          <w:sz w:val="24"/>
        </w:rPr>
        <w:t xml:space="preserve">  </w:t>
      </w:r>
      <w:r w:rsidR="00951C31" w:rsidRPr="00F11525">
        <w:rPr>
          <w:color w:val="C00000"/>
          <w:sz w:val="24"/>
        </w:rPr>
        <w:t>A</w:t>
      </w:r>
      <w:r w:rsidRPr="00F11525">
        <w:rPr>
          <w:color w:val="C00000"/>
          <w:sz w:val="24"/>
        </w:rPr>
        <w:t xml:space="preserve">ctual </w:t>
      </w:r>
      <w:r w:rsidR="00951C31" w:rsidRPr="00F11525">
        <w:rPr>
          <w:color w:val="C00000"/>
          <w:sz w:val="24"/>
        </w:rPr>
        <w:t xml:space="preserve">order </w:t>
      </w:r>
      <w:r w:rsidRPr="00F11525">
        <w:rPr>
          <w:color w:val="C00000"/>
          <w:sz w:val="24"/>
        </w:rPr>
        <w:t xml:space="preserve">quantities will </w:t>
      </w:r>
      <w:r w:rsidR="00951C31" w:rsidRPr="00F11525">
        <w:rPr>
          <w:color w:val="C00000"/>
          <w:sz w:val="24"/>
        </w:rPr>
        <w:t xml:space="preserve">be </w:t>
      </w:r>
      <w:r w:rsidRPr="00F11525">
        <w:rPr>
          <w:color w:val="C00000"/>
          <w:sz w:val="24"/>
        </w:rPr>
        <w:t>reflect</w:t>
      </w:r>
      <w:r w:rsidR="00951C31" w:rsidRPr="00F11525">
        <w:rPr>
          <w:color w:val="C00000"/>
          <w:sz w:val="24"/>
        </w:rPr>
        <w:t>ed</w:t>
      </w:r>
      <w:r w:rsidRPr="00F11525">
        <w:rPr>
          <w:color w:val="C00000"/>
          <w:sz w:val="24"/>
        </w:rPr>
        <w:t xml:space="preserve"> on the purchase orders released in </w:t>
      </w:r>
      <w:r w:rsidR="001B184B" w:rsidRPr="00F11525">
        <w:rPr>
          <w:color w:val="C00000"/>
          <w:sz w:val="24"/>
        </w:rPr>
        <w:t xml:space="preserve">early </w:t>
      </w:r>
      <w:r w:rsidRPr="00F11525">
        <w:rPr>
          <w:color w:val="C00000"/>
          <w:sz w:val="24"/>
        </w:rPr>
        <w:t>July.</w:t>
      </w:r>
    </w:p>
    <w:p w:rsidR="00454BCE" w:rsidRPr="00F11525" w:rsidRDefault="00454BCE" w:rsidP="00DF4F0B">
      <w:pPr>
        <w:pStyle w:val="ListParagraph"/>
        <w:numPr>
          <w:ilvl w:val="0"/>
          <w:numId w:val="15"/>
        </w:numPr>
        <w:rPr>
          <w:b/>
          <w:sz w:val="24"/>
        </w:rPr>
      </w:pPr>
      <w:r w:rsidRPr="00F11525">
        <w:rPr>
          <w:b/>
          <w:sz w:val="24"/>
        </w:rPr>
        <w:t xml:space="preserve">How would you like these oversized items to be packed?  </w:t>
      </w:r>
      <w:r w:rsidR="00C965EB">
        <w:rPr>
          <w:b/>
          <w:sz w:val="24"/>
        </w:rPr>
        <w:t xml:space="preserve">Example: </w:t>
      </w:r>
      <w:bookmarkStart w:id="0" w:name="_GoBack"/>
      <w:bookmarkEnd w:id="0"/>
      <w:r w:rsidRPr="00F11525">
        <w:rPr>
          <w:b/>
          <w:sz w:val="24"/>
        </w:rPr>
        <w:t>Bulk by School?  Bulk by School/Grade?  Other?</w:t>
      </w:r>
    </w:p>
    <w:tbl>
      <w:tblPr>
        <w:tblW w:w="8822" w:type="dxa"/>
        <w:tblInd w:w="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923"/>
        <w:gridCol w:w="2060"/>
        <w:gridCol w:w="4491"/>
      </w:tblGrid>
      <w:tr w:rsidR="00454BCE" w:rsidRPr="00F11525" w:rsidTr="001B184B">
        <w:trPr>
          <w:trHeight w:val="643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38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1st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PAC74720</w:t>
            </w: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Pacon</w:t>
            </w:r>
            <w:proofErr w:type="spellEnd"/>
            <w:r w:rsidRPr="00F11525">
              <w:rPr>
                <w:rFonts w:ascii="Calibri" w:hAnsi="Calibri" w:cs="Calibri"/>
                <w:sz w:val="18"/>
                <w:szCs w:val="20"/>
              </w:rPr>
              <w:t xml:space="preserve"> Ruled Chart Tablet - 25 Sheets - Ruled - 1.50" Ruled - 24" x 16 - White Paper</w:t>
            </w:r>
          </w:p>
        </w:tc>
      </w:tr>
      <w:tr w:rsidR="00454BCE" w:rsidRPr="00F11525" w:rsidTr="001B184B">
        <w:trPr>
          <w:trHeight w:val="6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PAC74710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Pacon</w:t>
            </w:r>
            <w:proofErr w:type="spellEnd"/>
            <w:r w:rsidRPr="00F11525">
              <w:rPr>
                <w:rFonts w:ascii="Calibri" w:hAnsi="Calibri" w:cs="Calibri"/>
                <w:sz w:val="18"/>
                <w:szCs w:val="20"/>
              </w:rPr>
              <w:t xml:space="preserve"> Ruled Chart Tablet - 25 Sheets - Ruled - 1.50" Ruled - 24" x 32" - White Paper</w:t>
            </w:r>
          </w:p>
        </w:tc>
      </w:tr>
    </w:tbl>
    <w:p w:rsidR="00454BCE" w:rsidRPr="00F11525" w:rsidRDefault="00454BCE" w:rsidP="00D44052">
      <w:pPr>
        <w:spacing w:after="0" w:line="240" w:lineRule="auto"/>
        <w:ind w:left="360"/>
        <w:jc w:val="both"/>
        <w:rPr>
          <w:color w:val="C00000"/>
          <w:sz w:val="24"/>
        </w:rPr>
      </w:pPr>
      <w:r w:rsidRPr="00F11525">
        <w:rPr>
          <w:color w:val="C00000"/>
          <w:sz w:val="24"/>
        </w:rPr>
        <w:t>If the item(s) mentioned above don’t fit in the shipping box, you can ship the</w:t>
      </w:r>
      <w:r w:rsidR="00E420F2" w:rsidRPr="00F11525">
        <w:rPr>
          <w:color w:val="C00000"/>
          <w:sz w:val="24"/>
        </w:rPr>
        <w:t xml:space="preserve"> </w:t>
      </w:r>
      <w:r w:rsidRPr="00F11525">
        <w:rPr>
          <w:color w:val="C00000"/>
          <w:sz w:val="24"/>
        </w:rPr>
        <w:t xml:space="preserve">agreed upon items separately </w:t>
      </w:r>
      <w:r w:rsidR="00E420F2" w:rsidRPr="00F11525">
        <w:rPr>
          <w:color w:val="C00000"/>
          <w:sz w:val="24"/>
        </w:rPr>
        <w:t xml:space="preserve">in one shipping container per building per grade level.  Each </w:t>
      </w:r>
      <w:r w:rsidR="007203C0" w:rsidRPr="00F11525">
        <w:rPr>
          <w:color w:val="C00000"/>
          <w:sz w:val="24"/>
        </w:rPr>
        <w:t xml:space="preserve">shipping </w:t>
      </w:r>
      <w:r w:rsidR="00E420F2" w:rsidRPr="00F11525">
        <w:rPr>
          <w:color w:val="C00000"/>
          <w:sz w:val="24"/>
        </w:rPr>
        <w:t xml:space="preserve">container should </w:t>
      </w:r>
      <w:r w:rsidR="00E420F2" w:rsidRPr="00F11525">
        <w:rPr>
          <w:color w:val="C00000"/>
          <w:sz w:val="24"/>
        </w:rPr>
        <w:lastRenderedPageBreak/>
        <w:t>be</w:t>
      </w:r>
      <w:r w:rsidRPr="00F11525">
        <w:rPr>
          <w:color w:val="C00000"/>
          <w:sz w:val="24"/>
        </w:rPr>
        <w:t xml:space="preserve"> labeled as </w:t>
      </w:r>
      <w:r w:rsidR="00E420F2" w:rsidRPr="00F11525">
        <w:rPr>
          <w:color w:val="C00000"/>
          <w:sz w:val="24"/>
        </w:rPr>
        <w:t>indicated</w:t>
      </w:r>
      <w:r w:rsidR="007203C0" w:rsidRPr="00F11525">
        <w:rPr>
          <w:color w:val="C00000"/>
          <w:sz w:val="24"/>
        </w:rPr>
        <w:t xml:space="preserve"> </w:t>
      </w:r>
      <w:r w:rsidR="00E420F2" w:rsidRPr="00F11525">
        <w:rPr>
          <w:color w:val="C00000"/>
          <w:sz w:val="24"/>
        </w:rPr>
        <w:t xml:space="preserve">in Section B – Terms &amp; Conditions, section </w:t>
      </w:r>
      <w:r w:rsidR="007203C0" w:rsidRPr="00F11525">
        <w:rPr>
          <w:color w:val="C00000"/>
          <w:sz w:val="24"/>
        </w:rPr>
        <w:t>“Packing, Delivery Requirements &amp; Claims”.</w:t>
      </w:r>
    </w:p>
    <w:p w:rsidR="007203C0" w:rsidRPr="00F11525" w:rsidRDefault="007203C0" w:rsidP="00454BCE">
      <w:pPr>
        <w:spacing w:after="0" w:line="240" w:lineRule="auto"/>
        <w:ind w:left="360"/>
        <w:rPr>
          <w:color w:val="FF0000"/>
          <w:sz w:val="24"/>
        </w:rPr>
      </w:pPr>
    </w:p>
    <w:p w:rsidR="00454BCE" w:rsidRPr="00F11525" w:rsidRDefault="00454BCE" w:rsidP="00DF4F0B">
      <w:pPr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F11525">
        <w:rPr>
          <w:b/>
          <w:sz w:val="24"/>
        </w:rPr>
        <w:t>Will you accept bids for the Core Kit portion of the RFQ only?</w:t>
      </w:r>
    </w:p>
    <w:p w:rsidR="007203C0" w:rsidRPr="00F11525" w:rsidRDefault="007203C0" w:rsidP="007203C0">
      <w:pPr>
        <w:spacing w:after="0" w:line="240" w:lineRule="auto"/>
        <w:ind w:left="360"/>
        <w:rPr>
          <w:color w:val="C00000"/>
          <w:sz w:val="24"/>
        </w:rPr>
      </w:pPr>
      <w:r w:rsidRPr="00F11525">
        <w:rPr>
          <w:color w:val="C00000"/>
          <w:sz w:val="24"/>
        </w:rPr>
        <w:t>Yes, we will accept separate bids for just the “core kit” items and</w:t>
      </w:r>
      <w:r w:rsidR="001B184B" w:rsidRPr="00F11525">
        <w:rPr>
          <w:color w:val="C00000"/>
          <w:sz w:val="24"/>
        </w:rPr>
        <w:t xml:space="preserve"> just</w:t>
      </w:r>
      <w:r w:rsidRPr="00F11525">
        <w:rPr>
          <w:color w:val="C00000"/>
          <w:sz w:val="24"/>
        </w:rPr>
        <w:t xml:space="preserve"> the “supplemental” kit items.</w:t>
      </w:r>
    </w:p>
    <w:p w:rsidR="00454BCE" w:rsidRPr="00F11525" w:rsidRDefault="00454BCE" w:rsidP="00454BCE">
      <w:pPr>
        <w:spacing w:after="0" w:line="240" w:lineRule="auto"/>
        <w:ind w:left="360"/>
        <w:rPr>
          <w:b/>
          <w:sz w:val="24"/>
        </w:rPr>
      </w:pPr>
    </w:p>
    <w:p w:rsidR="00951C31" w:rsidRPr="00F11525" w:rsidRDefault="00BC2333" w:rsidP="00951C31">
      <w:pPr>
        <w:pStyle w:val="xparagraph"/>
        <w:ind w:left="360"/>
        <w:rPr>
          <w:rFonts w:asciiTheme="minorHAnsi" w:hAnsiTheme="minorHAnsi" w:cstheme="minorBidi"/>
          <w:color w:val="C00000"/>
          <w:szCs w:val="22"/>
        </w:rPr>
      </w:pPr>
      <w:r w:rsidRPr="00F11525">
        <w:rPr>
          <w:rFonts w:asciiTheme="minorHAnsi" w:hAnsiTheme="minorHAnsi" w:cstheme="minorBidi"/>
          <w:b/>
        </w:rPr>
        <w:t xml:space="preserve">7) </w:t>
      </w:r>
      <w:r w:rsidR="00454BCE" w:rsidRPr="00F11525">
        <w:rPr>
          <w:rFonts w:asciiTheme="minorHAnsi" w:hAnsiTheme="minorHAnsi" w:cstheme="minorBidi"/>
          <w:b/>
        </w:rPr>
        <w:t>Will you consider alternate packing options?  i.e. a handled, durable, re</w:t>
      </w:r>
      <w:r w:rsidR="00454BCE" w:rsidRPr="00F11525">
        <w:rPr>
          <w:b/>
        </w:rPr>
        <w:t>-</w:t>
      </w:r>
      <w:r w:rsidR="00454BCE" w:rsidRPr="00F11525">
        <w:rPr>
          <w:rFonts w:asciiTheme="minorHAnsi" w:hAnsiTheme="minorHAnsi" w:cstheme="minorBidi"/>
          <w:b/>
        </w:rPr>
        <w:t>closable carry/tote bag instead of a Memory Box?</w:t>
      </w:r>
      <w:r w:rsidRPr="00F11525">
        <w:rPr>
          <w:rFonts w:asciiTheme="minorHAnsi" w:hAnsiTheme="minorHAnsi" w:cstheme="minorBidi"/>
          <w:color w:val="C00000"/>
          <w:szCs w:val="22"/>
        </w:rPr>
        <w:t xml:space="preserve"> </w:t>
      </w:r>
    </w:p>
    <w:p w:rsidR="00BC2333" w:rsidRPr="00F11525" w:rsidRDefault="00BC2333" w:rsidP="00951C31">
      <w:pPr>
        <w:pStyle w:val="xparagraph"/>
        <w:ind w:left="360"/>
        <w:rPr>
          <w:rFonts w:asciiTheme="minorHAnsi" w:hAnsiTheme="minorHAnsi" w:cstheme="minorBidi"/>
          <w:color w:val="C00000"/>
          <w:szCs w:val="22"/>
        </w:rPr>
      </w:pPr>
      <w:r w:rsidRPr="00F11525">
        <w:rPr>
          <w:rFonts w:asciiTheme="minorHAnsi" w:hAnsiTheme="minorHAnsi" w:cstheme="minorBidi"/>
          <w:color w:val="C00000"/>
          <w:szCs w:val="22"/>
        </w:rPr>
        <w:t>A sample would be required</w:t>
      </w:r>
      <w:r w:rsidRPr="00F11525">
        <w:rPr>
          <w:rFonts w:asciiTheme="minorHAnsi" w:hAnsiTheme="minorHAnsi" w:cstheme="minorBidi"/>
          <w:color w:val="C00000"/>
          <w:szCs w:val="22"/>
        </w:rPr>
        <w:t xml:space="preserve"> to determine if the alternate packaging w</w:t>
      </w:r>
      <w:r w:rsidR="00420320" w:rsidRPr="00F11525">
        <w:rPr>
          <w:rFonts w:asciiTheme="minorHAnsi" w:hAnsiTheme="minorHAnsi" w:cstheme="minorBidi"/>
          <w:color w:val="C00000"/>
          <w:szCs w:val="22"/>
        </w:rPr>
        <w:t xml:space="preserve">ould </w:t>
      </w:r>
      <w:r w:rsidRPr="00F11525">
        <w:rPr>
          <w:rFonts w:asciiTheme="minorHAnsi" w:hAnsiTheme="minorHAnsi" w:cstheme="minorBidi"/>
          <w:color w:val="C00000"/>
          <w:szCs w:val="22"/>
        </w:rPr>
        <w:t>be acceptable</w:t>
      </w:r>
      <w:r w:rsidRPr="00F11525">
        <w:rPr>
          <w:rFonts w:asciiTheme="minorHAnsi" w:hAnsiTheme="minorHAnsi" w:cstheme="minorBidi"/>
          <w:color w:val="C00000"/>
          <w:szCs w:val="22"/>
        </w:rPr>
        <w:t>.</w:t>
      </w:r>
    </w:p>
    <w:p w:rsidR="00454BCE" w:rsidRPr="00F11525" w:rsidRDefault="00454BCE" w:rsidP="00454BCE">
      <w:pPr>
        <w:pStyle w:val="xparagraph"/>
        <w:ind w:left="720" w:hanging="360"/>
        <w:rPr>
          <w:sz w:val="22"/>
        </w:rPr>
      </w:pPr>
    </w:p>
    <w:p w:rsidR="00454BCE" w:rsidRPr="00F11525" w:rsidRDefault="00454BCE" w:rsidP="00454BCE">
      <w:pPr>
        <w:pStyle w:val="xparagraph"/>
        <w:ind w:left="720" w:hanging="360"/>
        <w:rPr>
          <w:rFonts w:ascii="Arial" w:hAnsi="Arial" w:cs="Arial"/>
          <w:sz w:val="22"/>
        </w:rPr>
      </w:pPr>
    </w:p>
    <w:p w:rsidR="00454BCE" w:rsidRPr="00F11525" w:rsidRDefault="00B6171A" w:rsidP="00B6171A">
      <w:pPr>
        <w:spacing w:after="0" w:line="240" w:lineRule="auto"/>
        <w:ind w:left="360"/>
        <w:rPr>
          <w:b/>
          <w:sz w:val="24"/>
        </w:rPr>
      </w:pPr>
      <w:r w:rsidRPr="00F11525">
        <w:rPr>
          <w:b/>
          <w:sz w:val="24"/>
          <w:szCs w:val="24"/>
        </w:rPr>
        <w:t xml:space="preserve">8) </w:t>
      </w:r>
      <w:r w:rsidR="00454BCE" w:rsidRPr="00F11525">
        <w:rPr>
          <w:b/>
          <w:sz w:val="24"/>
          <w:szCs w:val="24"/>
        </w:rPr>
        <w:t xml:space="preserve"> W</w:t>
      </w:r>
      <w:r w:rsidR="00454BCE" w:rsidRPr="00F11525">
        <w:rPr>
          <w:b/>
          <w:sz w:val="24"/>
        </w:rPr>
        <w:t xml:space="preserve">hen will the Supplemental </w:t>
      </w:r>
      <w:r w:rsidRPr="00F11525">
        <w:rPr>
          <w:b/>
          <w:sz w:val="24"/>
        </w:rPr>
        <w:t>i</w:t>
      </w:r>
      <w:r w:rsidR="00454BCE" w:rsidRPr="00F11525">
        <w:rPr>
          <w:b/>
          <w:sz w:val="24"/>
        </w:rPr>
        <w:t>tem selections and Kit Quantities be finalized in EqualLevel?</w:t>
      </w:r>
    </w:p>
    <w:p w:rsidR="00A73B17" w:rsidRPr="00F11525" w:rsidRDefault="00A73B17" w:rsidP="00F11525">
      <w:pPr>
        <w:ind w:left="360"/>
        <w:jc w:val="both"/>
        <w:rPr>
          <w:b/>
          <w:color w:val="C00000"/>
          <w:sz w:val="24"/>
        </w:rPr>
      </w:pPr>
      <w:r w:rsidRPr="00F11525">
        <w:rPr>
          <w:color w:val="C00000"/>
          <w:sz w:val="24"/>
        </w:rPr>
        <w:t xml:space="preserve">The expectation is to have all items uploaded in EqualLevel by March 31, 2022 and </w:t>
      </w:r>
      <w:r w:rsidRPr="00F11525">
        <w:rPr>
          <w:color w:val="C00000"/>
          <w:sz w:val="24"/>
        </w:rPr>
        <w:t xml:space="preserve">order quantities for the supplemental items between mid-April to early May. </w:t>
      </w:r>
      <w:r w:rsidRPr="00F11525">
        <w:rPr>
          <w:b/>
          <w:color w:val="C00000"/>
          <w:sz w:val="24"/>
        </w:rPr>
        <w:t xml:space="preserve"> </w:t>
      </w:r>
    </w:p>
    <w:p w:rsidR="006A280D" w:rsidRPr="00F11525" w:rsidRDefault="004B5C08" w:rsidP="00A73B17">
      <w:pPr>
        <w:ind w:left="360"/>
        <w:rPr>
          <w:color w:val="C00000"/>
          <w:sz w:val="24"/>
        </w:rPr>
      </w:pPr>
      <w:r w:rsidRPr="00F11525">
        <w:rPr>
          <w:b/>
          <w:sz w:val="24"/>
        </w:rPr>
        <w:t xml:space="preserve">9) </w:t>
      </w:r>
      <w:r w:rsidR="00454BCE" w:rsidRPr="00F11525">
        <w:rPr>
          <w:b/>
          <w:sz w:val="24"/>
        </w:rPr>
        <w:t xml:space="preserve">Would a Memory Box with a corrugated handle, rather than a plastic handle, </w:t>
      </w:r>
      <w:r w:rsidR="00454BCE" w:rsidRPr="00F11525">
        <w:rPr>
          <w:color w:val="C00000"/>
          <w:sz w:val="24"/>
        </w:rPr>
        <w:t>be acceptable? </w:t>
      </w:r>
    </w:p>
    <w:p w:rsidR="00A73B17" w:rsidRPr="00F11525" w:rsidRDefault="006A280D" w:rsidP="00F11525">
      <w:pPr>
        <w:pStyle w:val="xparagraph"/>
        <w:ind w:left="360"/>
        <w:jc w:val="both"/>
        <w:rPr>
          <w:rFonts w:asciiTheme="minorHAnsi" w:hAnsiTheme="minorHAnsi" w:cstheme="minorBidi"/>
          <w:color w:val="C00000"/>
          <w:szCs w:val="22"/>
        </w:rPr>
      </w:pPr>
      <w:r w:rsidRPr="00F11525">
        <w:rPr>
          <w:rFonts w:asciiTheme="minorHAnsi" w:hAnsiTheme="minorHAnsi" w:cstheme="minorBidi"/>
          <w:color w:val="C00000"/>
          <w:szCs w:val="22"/>
        </w:rPr>
        <w:t xml:space="preserve">Yes, we would </w:t>
      </w:r>
      <w:r w:rsidR="00FE4181" w:rsidRPr="00F11525">
        <w:rPr>
          <w:rFonts w:asciiTheme="minorHAnsi" w:hAnsiTheme="minorHAnsi" w:cstheme="minorBidi"/>
          <w:color w:val="C00000"/>
          <w:szCs w:val="22"/>
        </w:rPr>
        <w:t>potentially accept a corrugated handled container.  However, we would require a sample to be submitted</w:t>
      </w:r>
      <w:r w:rsidR="00951C31" w:rsidRPr="00F11525">
        <w:rPr>
          <w:rFonts w:asciiTheme="minorHAnsi" w:hAnsiTheme="minorHAnsi" w:cstheme="minorBidi"/>
          <w:color w:val="C00000"/>
          <w:szCs w:val="22"/>
        </w:rPr>
        <w:t xml:space="preserve"> </w:t>
      </w:r>
      <w:r w:rsidR="00A73B17" w:rsidRPr="00F11525">
        <w:rPr>
          <w:rFonts w:asciiTheme="minorHAnsi" w:hAnsiTheme="minorHAnsi" w:cstheme="minorBidi"/>
          <w:color w:val="C00000"/>
          <w:szCs w:val="22"/>
        </w:rPr>
        <w:t xml:space="preserve">prior to </w:t>
      </w:r>
      <w:r w:rsidR="00A73B17" w:rsidRPr="00F11525">
        <w:rPr>
          <w:rFonts w:asciiTheme="minorHAnsi" w:hAnsiTheme="minorHAnsi" w:cstheme="minorBidi"/>
          <w:color w:val="C00000"/>
          <w:szCs w:val="22"/>
        </w:rPr>
        <w:t>determin</w:t>
      </w:r>
      <w:r w:rsidR="00A73B17" w:rsidRPr="00F11525">
        <w:rPr>
          <w:rFonts w:asciiTheme="minorHAnsi" w:hAnsiTheme="minorHAnsi" w:cstheme="minorBidi"/>
          <w:color w:val="C00000"/>
          <w:szCs w:val="22"/>
        </w:rPr>
        <w:t>ing</w:t>
      </w:r>
      <w:r w:rsidR="00A73B17" w:rsidRPr="00F11525">
        <w:rPr>
          <w:rFonts w:asciiTheme="minorHAnsi" w:hAnsiTheme="minorHAnsi" w:cstheme="minorBidi"/>
          <w:color w:val="C00000"/>
          <w:szCs w:val="22"/>
        </w:rPr>
        <w:t xml:space="preserve"> if the alternate packaging would be acceptable.</w:t>
      </w:r>
    </w:p>
    <w:p w:rsidR="00454BCE" w:rsidRPr="00F11525" w:rsidRDefault="00454BCE" w:rsidP="00DF4F0B">
      <w:pPr>
        <w:spacing w:after="0" w:line="240" w:lineRule="auto"/>
        <w:ind w:left="360"/>
        <w:rPr>
          <w:sz w:val="12"/>
          <w:szCs w:val="14"/>
        </w:rPr>
      </w:pPr>
      <w:r w:rsidRPr="00F11525">
        <w:rPr>
          <w:sz w:val="12"/>
          <w:szCs w:val="14"/>
        </w:rPr>
        <w:t xml:space="preserve">     </w:t>
      </w:r>
    </w:p>
    <w:p w:rsidR="00454BCE" w:rsidRPr="00F11525" w:rsidRDefault="004B5C08" w:rsidP="00F11525">
      <w:pPr>
        <w:pStyle w:val="xparagraph"/>
        <w:ind w:left="360"/>
        <w:rPr>
          <w:rFonts w:asciiTheme="minorHAnsi" w:hAnsiTheme="minorHAnsi" w:cstheme="minorBidi"/>
          <w:b/>
          <w:szCs w:val="22"/>
        </w:rPr>
      </w:pPr>
      <w:r w:rsidRPr="00F11525">
        <w:rPr>
          <w:rFonts w:asciiTheme="minorHAnsi" w:hAnsiTheme="minorHAnsi" w:cstheme="minorBidi"/>
          <w:b/>
          <w:szCs w:val="22"/>
        </w:rPr>
        <w:t>10</w:t>
      </w:r>
      <w:r w:rsidR="00B6171A" w:rsidRPr="00F11525">
        <w:rPr>
          <w:rFonts w:asciiTheme="minorHAnsi" w:hAnsiTheme="minorHAnsi" w:cstheme="minorBidi"/>
          <w:b/>
          <w:szCs w:val="22"/>
        </w:rPr>
        <w:t>)</w:t>
      </w:r>
      <w:r w:rsidR="00454BCE" w:rsidRPr="00F11525">
        <w:rPr>
          <w:rFonts w:asciiTheme="minorHAnsi" w:hAnsiTheme="minorHAnsi" w:cstheme="minorBidi"/>
          <w:b/>
          <w:szCs w:val="22"/>
        </w:rPr>
        <w:t>   Please confirm the q</w:t>
      </w:r>
      <w:r w:rsidR="00FE4181" w:rsidRPr="00F11525">
        <w:rPr>
          <w:rFonts w:asciiTheme="minorHAnsi" w:hAnsiTheme="minorHAnsi" w:cstheme="minorBidi"/>
          <w:b/>
          <w:szCs w:val="22"/>
        </w:rPr>
        <w:t>uantity</w:t>
      </w:r>
      <w:r w:rsidR="00454BCE" w:rsidRPr="00F11525">
        <w:rPr>
          <w:rFonts w:asciiTheme="minorHAnsi" w:hAnsiTheme="minorHAnsi" w:cstheme="minorBidi"/>
          <w:b/>
          <w:szCs w:val="22"/>
        </w:rPr>
        <w:t xml:space="preserve"> requested for the Leatherette Folders - is it one box of 25 folders or one individual folder?</w:t>
      </w:r>
    </w:p>
    <w:p w:rsidR="00FE4181" w:rsidRPr="00F11525" w:rsidRDefault="00FE4181" w:rsidP="00D44052">
      <w:pPr>
        <w:pStyle w:val="xparagraph"/>
        <w:ind w:left="360"/>
        <w:jc w:val="both"/>
        <w:rPr>
          <w:rFonts w:asciiTheme="minorHAnsi" w:hAnsiTheme="minorHAnsi" w:cstheme="minorBidi"/>
          <w:color w:val="C00000"/>
          <w:szCs w:val="22"/>
        </w:rPr>
      </w:pPr>
      <w:r w:rsidRPr="00F11525">
        <w:rPr>
          <w:rFonts w:asciiTheme="minorHAnsi" w:hAnsiTheme="minorHAnsi" w:cstheme="minorBidi"/>
          <w:color w:val="C00000"/>
          <w:szCs w:val="22"/>
        </w:rPr>
        <w:t xml:space="preserve">Reference Attachment 2 at the bottom of the “Supplemental Offer Sheet” reads “IMPORTANT: Unit of Measure (UOM) </w:t>
      </w:r>
      <w:r w:rsidR="00F028B6" w:rsidRPr="00F11525">
        <w:rPr>
          <w:rFonts w:asciiTheme="minorHAnsi" w:hAnsiTheme="minorHAnsi" w:cstheme="minorBidi"/>
          <w:color w:val="C00000"/>
          <w:szCs w:val="22"/>
        </w:rPr>
        <w:t>in</w:t>
      </w:r>
      <w:r w:rsidRPr="00F11525">
        <w:rPr>
          <w:rFonts w:asciiTheme="minorHAnsi" w:hAnsiTheme="minorHAnsi" w:cstheme="minorBidi"/>
          <w:color w:val="C00000"/>
          <w:szCs w:val="22"/>
        </w:rPr>
        <w:t xml:space="preserve"> item description may differ from the quantity being requested</w:t>
      </w:r>
      <w:r w:rsidR="00F028B6" w:rsidRPr="00F11525">
        <w:rPr>
          <w:rFonts w:asciiTheme="minorHAnsi" w:hAnsiTheme="minorHAnsi" w:cstheme="minorBidi"/>
          <w:color w:val="C00000"/>
          <w:szCs w:val="22"/>
        </w:rPr>
        <w:t>. Reference Column “</w:t>
      </w:r>
      <w:r w:rsidR="00951C31" w:rsidRPr="00F11525">
        <w:rPr>
          <w:rFonts w:asciiTheme="minorHAnsi" w:hAnsiTheme="minorHAnsi" w:cstheme="minorBidi"/>
          <w:color w:val="C00000"/>
          <w:szCs w:val="22"/>
        </w:rPr>
        <w:t>G</w:t>
      </w:r>
      <w:r w:rsidR="00F028B6" w:rsidRPr="00F11525">
        <w:rPr>
          <w:rFonts w:asciiTheme="minorHAnsi" w:hAnsiTheme="minorHAnsi" w:cstheme="minorBidi"/>
          <w:color w:val="C00000"/>
          <w:szCs w:val="22"/>
        </w:rPr>
        <w:t>” of this document</w:t>
      </w:r>
      <w:r w:rsidR="00951C31" w:rsidRPr="00F11525">
        <w:rPr>
          <w:rFonts w:asciiTheme="minorHAnsi" w:hAnsiTheme="minorHAnsi" w:cstheme="minorBidi"/>
          <w:color w:val="C00000"/>
          <w:szCs w:val="22"/>
        </w:rPr>
        <w:t xml:space="preserve"> for the UOM that will be ordered</w:t>
      </w:r>
      <w:r w:rsidRPr="00F11525">
        <w:rPr>
          <w:rFonts w:asciiTheme="minorHAnsi" w:hAnsiTheme="minorHAnsi" w:cstheme="minorBidi"/>
          <w:color w:val="C00000"/>
          <w:szCs w:val="22"/>
        </w:rPr>
        <w:t>.</w:t>
      </w:r>
    </w:p>
    <w:p w:rsidR="00F028B6" w:rsidRPr="00F11525" w:rsidRDefault="00F028B6" w:rsidP="00D44052">
      <w:pPr>
        <w:pStyle w:val="xparagraph"/>
        <w:ind w:left="360"/>
        <w:jc w:val="both"/>
        <w:rPr>
          <w:rFonts w:asciiTheme="minorHAnsi" w:hAnsiTheme="minorHAnsi" w:cstheme="minorBidi"/>
          <w:color w:val="C00000"/>
          <w:szCs w:val="22"/>
        </w:rPr>
      </w:pPr>
    </w:p>
    <w:p w:rsidR="00F028B6" w:rsidRPr="00F11525" w:rsidRDefault="00F028B6" w:rsidP="00D44052">
      <w:pPr>
        <w:pStyle w:val="xparagraph"/>
        <w:ind w:left="360"/>
        <w:jc w:val="both"/>
        <w:rPr>
          <w:rFonts w:asciiTheme="minorHAnsi" w:hAnsiTheme="minorHAnsi" w:cstheme="minorBidi"/>
          <w:color w:val="C00000"/>
          <w:szCs w:val="22"/>
        </w:rPr>
      </w:pPr>
      <w:r w:rsidRPr="00F11525">
        <w:rPr>
          <w:rFonts w:asciiTheme="minorHAnsi" w:hAnsiTheme="minorHAnsi" w:cstheme="minorBidi"/>
          <w:color w:val="C00000"/>
          <w:szCs w:val="22"/>
        </w:rPr>
        <w:t xml:space="preserve">In the case of the examples (#61-64) the UOM is a box of 25, the buildings will be able to order these items in the UOM of </w:t>
      </w:r>
      <w:proofErr w:type="spellStart"/>
      <w:r w:rsidRPr="00F11525">
        <w:rPr>
          <w:rFonts w:asciiTheme="minorHAnsi" w:hAnsiTheme="minorHAnsi" w:cstheme="minorBidi"/>
          <w:color w:val="C00000"/>
          <w:szCs w:val="22"/>
        </w:rPr>
        <w:t>eaches</w:t>
      </w:r>
      <w:proofErr w:type="spellEnd"/>
      <w:r w:rsidRPr="00F11525">
        <w:rPr>
          <w:rFonts w:asciiTheme="minorHAnsi" w:hAnsiTheme="minorHAnsi" w:cstheme="minorBidi"/>
          <w:color w:val="C00000"/>
          <w:szCs w:val="22"/>
        </w:rPr>
        <w:t>.  If a building wants to order 2 of the Blue, 2 of the Green, 2 Yellow &amp; 2 of the Red they can, they aren’t required to order based on how the supplier purchases the item.</w:t>
      </w:r>
    </w:p>
    <w:p w:rsidR="00454BCE" w:rsidRPr="00F11525" w:rsidRDefault="00454BCE" w:rsidP="00D44052">
      <w:pPr>
        <w:spacing w:after="0" w:line="240" w:lineRule="auto"/>
        <w:ind w:left="720"/>
        <w:jc w:val="both"/>
        <w:rPr>
          <w:rFonts w:eastAsia="Times New Roman"/>
          <w:color w:val="0C64C0"/>
          <w:sz w:val="20"/>
        </w:rPr>
      </w:pPr>
      <w:r w:rsidRPr="00F11525">
        <w:rPr>
          <w:rFonts w:ascii="Arial" w:eastAsia="Times New Roman" w:hAnsi="Arial" w:cs="Arial"/>
          <w:color w:val="0C64C0"/>
          <w:sz w:val="20"/>
        </w:rPr>
        <w:t> </w:t>
      </w:r>
    </w:p>
    <w:tbl>
      <w:tblPr>
        <w:tblW w:w="1016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530"/>
        <w:gridCol w:w="1639"/>
        <w:gridCol w:w="3572"/>
        <w:gridCol w:w="1438"/>
        <w:gridCol w:w="742"/>
        <w:gridCol w:w="695"/>
      </w:tblGrid>
      <w:tr w:rsidR="00454BCE" w:rsidRPr="00F11525" w:rsidTr="00FE4181">
        <w:trPr>
          <w:trHeight w:val="572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3-6, 7 &amp; 8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SMD87852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Two-Pocket Folders - 1/2" Folder Capacity - 9 3/4" x 11" Sheet Size - 2 Pocket(s) - Leatherette - Blue - Recycled - 25 / Box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Smead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EA</w:t>
            </w:r>
          </w:p>
        </w:tc>
      </w:tr>
      <w:tr w:rsidR="00454BCE" w:rsidRPr="00F11525" w:rsidTr="00FE4181">
        <w:trPr>
          <w:trHeight w:val="57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3-6, 7 &amp; 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SMD87855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Two-Pocket Folders - 1/2" Folder Capacity - 9 3/4" x 11" Sheet Size - 2 Pocket(s) - Leatherette - Green- Recycled - 25 / Box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Smead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EA</w:t>
            </w:r>
          </w:p>
        </w:tc>
      </w:tr>
      <w:tr w:rsidR="00454BCE" w:rsidRPr="00F11525" w:rsidTr="00FE4181">
        <w:trPr>
          <w:trHeight w:val="57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3-6, 7 &amp; 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SMD87859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Two-Pocket Folders - 1/2" Folder Capacity - 9 3/4" x 11" Sheet Size - 2 Pocket(s) - Leatherette - Red- Recycled - 25 / Box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Smead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EA</w:t>
            </w:r>
          </w:p>
        </w:tc>
      </w:tr>
      <w:tr w:rsidR="00454BCE" w:rsidRPr="00F11525" w:rsidTr="00FE4181">
        <w:trPr>
          <w:trHeight w:val="57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3-6, 7 &amp; 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SMD87862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Two-Pocket Folders - 1/2" Folder Capacity - 9 3/4" x 11" Sheet Size - 2 Pocket(s) - Leatherette - Yellow - Recycled - 25 / Box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proofErr w:type="spellStart"/>
            <w:r w:rsidRPr="00F11525">
              <w:rPr>
                <w:rFonts w:ascii="Calibri" w:hAnsi="Calibri" w:cs="Calibri"/>
                <w:sz w:val="18"/>
                <w:szCs w:val="20"/>
              </w:rPr>
              <w:t>Smead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EA</w:t>
            </w:r>
          </w:p>
        </w:tc>
      </w:tr>
    </w:tbl>
    <w:p w:rsidR="00F11525" w:rsidRPr="00F11525" w:rsidRDefault="00F11525" w:rsidP="00F11525">
      <w:pPr>
        <w:rPr>
          <w:b/>
          <w:sz w:val="24"/>
        </w:rPr>
      </w:pPr>
    </w:p>
    <w:p w:rsidR="00F11525" w:rsidRDefault="00F11525">
      <w:pPr>
        <w:rPr>
          <w:b/>
          <w:sz w:val="24"/>
        </w:rPr>
      </w:pPr>
      <w:r>
        <w:rPr>
          <w:b/>
          <w:sz w:val="24"/>
        </w:rPr>
        <w:br w:type="page"/>
      </w:r>
    </w:p>
    <w:p w:rsidR="00027E82" w:rsidRPr="00F11525" w:rsidRDefault="004B5C08" w:rsidP="00F11525">
      <w:pPr>
        <w:rPr>
          <w:b/>
          <w:sz w:val="24"/>
        </w:rPr>
      </w:pPr>
      <w:r w:rsidRPr="00F11525">
        <w:rPr>
          <w:b/>
          <w:sz w:val="24"/>
        </w:rPr>
        <w:lastRenderedPageBreak/>
        <w:t>11</w:t>
      </w:r>
      <w:r w:rsidR="00B6171A" w:rsidRPr="00F11525">
        <w:rPr>
          <w:b/>
          <w:sz w:val="24"/>
        </w:rPr>
        <w:t>)</w:t>
      </w:r>
      <w:r w:rsidR="00454BCE" w:rsidRPr="00F11525">
        <w:rPr>
          <w:b/>
          <w:sz w:val="24"/>
        </w:rPr>
        <w:t>  Please confirm the q</w:t>
      </w:r>
      <w:r w:rsidR="00FE4181" w:rsidRPr="00F11525">
        <w:rPr>
          <w:b/>
          <w:sz w:val="24"/>
        </w:rPr>
        <w:t>uantity r</w:t>
      </w:r>
      <w:r w:rsidR="00454BCE" w:rsidRPr="00F11525">
        <w:rPr>
          <w:b/>
          <w:sz w:val="24"/>
        </w:rPr>
        <w:t>equested for all Repositionable Adhesive Notes - is it one pack of 12 pads (1 dozen) or one individual pad?</w:t>
      </w:r>
      <w:r w:rsidR="00027E82" w:rsidRPr="00F11525">
        <w:rPr>
          <w:b/>
          <w:sz w:val="24"/>
        </w:rPr>
        <w:t xml:space="preserve"> </w:t>
      </w:r>
    </w:p>
    <w:tbl>
      <w:tblPr>
        <w:tblpPr w:leftFromText="180" w:rightFromText="180" w:vertAnchor="text" w:horzAnchor="margin" w:tblpY="528"/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278"/>
        <w:gridCol w:w="1638"/>
        <w:gridCol w:w="3571"/>
        <w:gridCol w:w="1437"/>
        <w:gridCol w:w="741"/>
        <w:gridCol w:w="695"/>
      </w:tblGrid>
      <w:tr w:rsidR="009C2E8E" w:rsidRPr="00F11525" w:rsidTr="009C2E8E">
        <w:trPr>
          <w:trHeight w:val="29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C2E8E" w:rsidRPr="00F11525" w:rsidRDefault="009C2E8E" w:rsidP="009C2E8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3-6, 7 &amp; 8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BSN36612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Yellow Repositionable Adhesive Notes - 3" x 3" - Square - Yellow - Repositionable, Solvent-free Adhesive - 12 / Pack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Business Source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E8E" w:rsidRPr="00F11525" w:rsidRDefault="009C2E8E" w:rsidP="009C2E8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PK</w:t>
            </w:r>
          </w:p>
        </w:tc>
      </w:tr>
    </w:tbl>
    <w:p w:rsidR="00027E82" w:rsidRPr="00F11525" w:rsidRDefault="001B184B" w:rsidP="0079548B">
      <w:pPr>
        <w:pStyle w:val="xparagraph"/>
        <w:ind w:left="720" w:hanging="360"/>
        <w:rPr>
          <w:b/>
          <w:color w:val="C00000"/>
        </w:rPr>
      </w:pPr>
      <w:r w:rsidRPr="00F11525">
        <w:rPr>
          <w:rFonts w:asciiTheme="minorHAnsi" w:hAnsiTheme="minorHAnsi" w:cstheme="minorBidi"/>
          <w:color w:val="C00000"/>
          <w:szCs w:val="22"/>
        </w:rPr>
        <w:t xml:space="preserve">Item #3, 71 &amp; 72 will be ordered as </w:t>
      </w:r>
      <w:r w:rsidRPr="00F11525">
        <w:rPr>
          <w:rFonts w:asciiTheme="minorHAnsi" w:hAnsiTheme="minorHAnsi" w:cstheme="minorBidi"/>
          <w:color w:val="C00000"/>
          <w:szCs w:val="22"/>
        </w:rPr>
        <w:t>packs of 12</w:t>
      </w:r>
      <w:r w:rsidRPr="00F11525">
        <w:rPr>
          <w:rFonts w:asciiTheme="minorHAnsi" w:hAnsiTheme="minorHAnsi" w:cstheme="minorBidi"/>
          <w:color w:val="C00000"/>
          <w:szCs w:val="22"/>
        </w:rPr>
        <w:t>.</w:t>
      </w:r>
    </w:p>
    <w:tbl>
      <w:tblPr>
        <w:tblW w:w="992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228"/>
        <w:gridCol w:w="132"/>
        <w:gridCol w:w="1488"/>
        <w:gridCol w:w="137"/>
        <w:gridCol w:w="3463"/>
        <w:gridCol w:w="1494"/>
        <w:gridCol w:w="702"/>
        <w:gridCol w:w="26"/>
        <w:gridCol w:w="640"/>
        <w:gridCol w:w="46"/>
      </w:tblGrid>
      <w:tr w:rsidR="009C2E8E" w:rsidRPr="00F11525" w:rsidTr="009C2E8E">
        <w:trPr>
          <w:gridAfter w:val="1"/>
          <w:wAfter w:w="46" w:type="dxa"/>
          <w:trHeight w:val="406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 w:rsidP="00027E82">
            <w:pPr>
              <w:pStyle w:val="xmsonormal"/>
              <w:ind w:right="-1428" w:firstLine="276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71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2nd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BSN36610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Yellow Repositionable Adhesive Notes - 1.88" x 1.38" - Rectangle - Yellow - Repositionable, Solvent-free Adhesive - 12 / Pack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Business Source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9AF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PK</w:t>
            </w:r>
          </w:p>
        </w:tc>
      </w:tr>
      <w:tr w:rsidR="009C2E8E" w:rsidRPr="00F11525" w:rsidTr="009C2E8E">
        <w:trPr>
          <w:trHeight w:val="68"/>
          <w:hidden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Arial" w:hAnsi="Arial" w:cs="Arial"/>
                <w:vanish/>
                <w:color w:val="0C64C0"/>
                <w:sz w:val="22"/>
              </w:rPr>
              <w:t> </w:t>
            </w: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3-6, 7 &amp; 8 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BSN36614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3" Plain Pastel Colors Adhesive Notes - 100 - 3" x 3" - Square - Assorted - Repositionable, Solvent-free Adhesive - 12 / Pack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Business Source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PK</w:t>
            </w:r>
          </w:p>
        </w:tc>
      </w:tr>
    </w:tbl>
    <w:p w:rsidR="00454BCE" w:rsidRPr="00F11525" w:rsidRDefault="00454BCE" w:rsidP="00454BCE">
      <w:pPr>
        <w:pStyle w:val="xparagraph"/>
        <w:rPr>
          <w:sz w:val="22"/>
        </w:rPr>
      </w:pPr>
      <w:r w:rsidRPr="00F11525">
        <w:rPr>
          <w:rFonts w:ascii="Arial" w:hAnsi="Arial" w:cs="Arial"/>
          <w:sz w:val="22"/>
        </w:rPr>
        <w:t> </w:t>
      </w:r>
    </w:p>
    <w:p w:rsidR="00454BCE" w:rsidRPr="00F11525" w:rsidRDefault="004B5C08" w:rsidP="00F11525">
      <w:pPr>
        <w:pStyle w:val="xparagraph"/>
        <w:ind w:left="450" w:hanging="450"/>
        <w:rPr>
          <w:rFonts w:asciiTheme="minorHAnsi" w:hAnsiTheme="minorHAnsi" w:cstheme="minorBidi"/>
          <w:b/>
          <w:szCs w:val="22"/>
        </w:rPr>
      </w:pPr>
      <w:r w:rsidRPr="00F11525">
        <w:rPr>
          <w:rFonts w:asciiTheme="minorHAnsi" w:hAnsiTheme="minorHAnsi" w:cstheme="minorBidi"/>
          <w:b/>
          <w:szCs w:val="22"/>
        </w:rPr>
        <w:t>12</w:t>
      </w:r>
      <w:r w:rsidR="00DF4F0B" w:rsidRPr="00F11525">
        <w:rPr>
          <w:rFonts w:asciiTheme="minorHAnsi" w:hAnsiTheme="minorHAnsi" w:cstheme="minorBidi"/>
          <w:b/>
          <w:szCs w:val="22"/>
        </w:rPr>
        <w:t>)</w:t>
      </w:r>
      <w:r w:rsidR="00454BCE" w:rsidRPr="00F11525">
        <w:rPr>
          <w:rFonts w:asciiTheme="minorHAnsi" w:hAnsiTheme="minorHAnsi" w:cstheme="minorBidi"/>
          <w:b/>
          <w:szCs w:val="22"/>
        </w:rPr>
        <w:t> </w:t>
      </w:r>
      <w:r w:rsidR="00FE4181" w:rsidRPr="00F11525">
        <w:rPr>
          <w:rFonts w:asciiTheme="minorHAnsi" w:hAnsiTheme="minorHAnsi" w:cstheme="minorBidi"/>
          <w:b/>
          <w:szCs w:val="22"/>
        </w:rPr>
        <w:t xml:space="preserve"> </w:t>
      </w:r>
      <w:r w:rsidR="00454BCE" w:rsidRPr="00F11525">
        <w:rPr>
          <w:rFonts w:asciiTheme="minorHAnsi" w:hAnsiTheme="minorHAnsi" w:cstheme="minorBidi"/>
          <w:b/>
          <w:szCs w:val="22"/>
        </w:rPr>
        <w:t xml:space="preserve"> Please confirm the q</w:t>
      </w:r>
      <w:r w:rsidR="0079548B" w:rsidRPr="00F11525">
        <w:rPr>
          <w:rFonts w:asciiTheme="minorHAnsi" w:hAnsiTheme="minorHAnsi" w:cstheme="minorBidi"/>
          <w:b/>
          <w:szCs w:val="22"/>
        </w:rPr>
        <w:t>uantity</w:t>
      </w:r>
      <w:r w:rsidR="00454BCE" w:rsidRPr="00F11525">
        <w:rPr>
          <w:rFonts w:asciiTheme="minorHAnsi" w:hAnsiTheme="minorHAnsi" w:cstheme="minorBidi"/>
          <w:b/>
          <w:szCs w:val="22"/>
        </w:rPr>
        <w:t xml:space="preserve"> requested for the Store More Book Pouches?   Is a set of 12 (1 Dozen) per kit?  Or different?</w:t>
      </w:r>
    </w:p>
    <w:p w:rsidR="00454BCE" w:rsidRPr="00F11525" w:rsidRDefault="00454BCE" w:rsidP="00FE4181">
      <w:pPr>
        <w:spacing w:after="0" w:line="240" w:lineRule="auto"/>
        <w:ind w:left="360"/>
        <w:rPr>
          <w:rFonts w:eastAsia="Times New Roman"/>
          <w:color w:val="0C64C0"/>
          <w:sz w:val="20"/>
        </w:rPr>
      </w:pPr>
      <w:r w:rsidRPr="00F11525">
        <w:rPr>
          <w:rFonts w:ascii="Arial" w:eastAsia="Times New Roman" w:hAnsi="Arial" w:cs="Arial"/>
          <w:color w:val="0C64C0"/>
          <w:sz w:val="20"/>
        </w:rPr>
        <w:t> </w:t>
      </w:r>
    </w:p>
    <w:tbl>
      <w:tblPr>
        <w:tblW w:w="98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27"/>
        <w:gridCol w:w="1635"/>
        <w:gridCol w:w="3563"/>
        <w:gridCol w:w="1434"/>
        <w:gridCol w:w="740"/>
        <w:gridCol w:w="694"/>
      </w:tblGrid>
      <w:tr w:rsidR="0079548B" w:rsidRPr="00F11525" w:rsidTr="0079548B">
        <w:trPr>
          <w:trHeight w:val="204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4BCE" w:rsidRPr="00F11525" w:rsidRDefault="00454BCE">
            <w:pPr>
              <w:pStyle w:val="xmsonormal"/>
              <w:jc w:val="right"/>
              <w:rPr>
                <w:sz w:val="22"/>
              </w:rPr>
            </w:pPr>
            <w:r w:rsidRPr="00F11525">
              <w:rPr>
                <w:rFonts w:ascii="Calibri" w:hAnsi="Calibri" w:cs="Calibri"/>
                <w:color w:val="000000"/>
                <w:sz w:val="18"/>
                <w:szCs w:val="20"/>
              </w:rPr>
              <w:t>54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KDG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165751</w:t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Store More® Medium Book Pouches And Labels - Primary Colors (Set of 12)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 xml:space="preserve">Store More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BCE" w:rsidRPr="00F11525" w:rsidRDefault="00454BCE">
            <w:pPr>
              <w:pStyle w:val="xmsonormal"/>
              <w:jc w:val="center"/>
              <w:rPr>
                <w:sz w:val="22"/>
              </w:rPr>
            </w:pPr>
            <w:r w:rsidRPr="00F11525">
              <w:rPr>
                <w:rFonts w:ascii="Calibri" w:hAnsi="Calibri" w:cs="Calibri"/>
                <w:sz w:val="18"/>
                <w:szCs w:val="20"/>
              </w:rPr>
              <w:t>DZ</w:t>
            </w:r>
          </w:p>
        </w:tc>
      </w:tr>
    </w:tbl>
    <w:p w:rsidR="00FE4181" w:rsidRPr="00F11525" w:rsidRDefault="00F12156" w:rsidP="00FE4181">
      <w:pPr>
        <w:ind w:left="360"/>
        <w:rPr>
          <w:color w:val="C00000"/>
          <w:sz w:val="24"/>
        </w:rPr>
      </w:pPr>
      <w:r w:rsidRPr="00F11525">
        <w:rPr>
          <w:color w:val="C00000"/>
          <w:sz w:val="24"/>
        </w:rPr>
        <w:t xml:space="preserve">Item #54 will be ordered as one each.  Reference question #7 of this Addendum. </w:t>
      </w:r>
    </w:p>
    <w:p w:rsidR="00454BCE" w:rsidRPr="00F11525" w:rsidRDefault="00BC2333" w:rsidP="00F11525">
      <w:pPr>
        <w:rPr>
          <w:b/>
          <w:sz w:val="24"/>
        </w:rPr>
      </w:pPr>
      <w:r w:rsidRPr="00F11525">
        <w:rPr>
          <w:b/>
          <w:sz w:val="24"/>
        </w:rPr>
        <w:t>1</w:t>
      </w:r>
      <w:r w:rsidR="004B5C08" w:rsidRPr="00F11525">
        <w:rPr>
          <w:b/>
          <w:sz w:val="24"/>
        </w:rPr>
        <w:t>3</w:t>
      </w:r>
      <w:r w:rsidRPr="00F11525">
        <w:rPr>
          <w:b/>
          <w:sz w:val="24"/>
        </w:rPr>
        <w:t xml:space="preserve">)   </w:t>
      </w:r>
      <w:r w:rsidR="00454BCE" w:rsidRPr="00F11525">
        <w:rPr>
          <w:b/>
          <w:sz w:val="24"/>
        </w:rPr>
        <w:t>Will Camera Ready Artwork be provided for the labels?</w:t>
      </w:r>
    </w:p>
    <w:p w:rsidR="00454BCE" w:rsidRPr="00F11525" w:rsidRDefault="0079548B" w:rsidP="00BC2333">
      <w:pPr>
        <w:ind w:left="360"/>
        <w:rPr>
          <w:color w:val="C00000"/>
          <w:sz w:val="24"/>
        </w:rPr>
      </w:pPr>
      <w:r w:rsidRPr="00F11525">
        <w:rPr>
          <w:color w:val="C00000"/>
          <w:sz w:val="24"/>
        </w:rPr>
        <w:t xml:space="preserve">Artwork for </w:t>
      </w:r>
      <w:r w:rsidR="00BC2333" w:rsidRPr="00F11525">
        <w:rPr>
          <w:color w:val="C00000"/>
          <w:sz w:val="24"/>
        </w:rPr>
        <w:t xml:space="preserve">all shipping </w:t>
      </w:r>
      <w:r w:rsidRPr="00F11525">
        <w:rPr>
          <w:color w:val="C00000"/>
          <w:sz w:val="24"/>
        </w:rPr>
        <w:t xml:space="preserve">labels </w:t>
      </w:r>
      <w:r w:rsidR="00BC2333" w:rsidRPr="00F11525">
        <w:rPr>
          <w:color w:val="C00000"/>
          <w:sz w:val="24"/>
        </w:rPr>
        <w:t>will be</w:t>
      </w:r>
      <w:r w:rsidRPr="00F11525">
        <w:rPr>
          <w:color w:val="C00000"/>
          <w:sz w:val="24"/>
        </w:rPr>
        <w:t xml:space="preserve"> provided by the supplier </w:t>
      </w:r>
      <w:r w:rsidR="00BC2333" w:rsidRPr="00F11525">
        <w:rPr>
          <w:color w:val="C00000"/>
          <w:sz w:val="24"/>
        </w:rPr>
        <w:t xml:space="preserve">that </w:t>
      </w:r>
      <w:r w:rsidR="00A73B17" w:rsidRPr="00F11525">
        <w:rPr>
          <w:color w:val="C00000"/>
          <w:sz w:val="24"/>
        </w:rPr>
        <w:t>will be</w:t>
      </w:r>
      <w:r w:rsidR="00BC2333" w:rsidRPr="00F11525">
        <w:rPr>
          <w:color w:val="C00000"/>
          <w:sz w:val="24"/>
        </w:rPr>
        <w:t xml:space="preserve"> </w:t>
      </w:r>
      <w:r w:rsidRPr="00F11525">
        <w:rPr>
          <w:color w:val="C00000"/>
          <w:sz w:val="24"/>
        </w:rPr>
        <w:t>awarded the bid.</w:t>
      </w:r>
    </w:p>
    <w:p w:rsidR="00DF4F0B" w:rsidRPr="00F11525" w:rsidRDefault="004B5C08" w:rsidP="00F11525">
      <w:pPr>
        <w:rPr>
          <w:b/>
          <w:sz w:val="24"/>
        </w:rPr>
      </w:pPr>
      <w:r w:rsidRPr="00F11525">
        <w:rPr>
          <w:b/>
          <w:sz w:val="24"/>
        </w:rPr>
        <w:t>14</w:t>
      </w:r>
      <w:r w:rsidR="00BC2333" w:rsidRPr="00F11525">
        <w:rPr>
          <w:b/>
          <w:sz w:val="24"/>
        </w:rPr>
        <w:t>)   Wh</w:t>
      </w:r>
      <w:r w:rsidR="00DF4F0B" w:rsidRPr="00F11525">
        <w:rPr>
          <w:b/>
          <w:sz w:val="24"/>
        </w:rPr>
        <w:t>en will you know exact quantities that will be ordered for “supplemental” items?</w:t>
      </w:r>
    </w:p>
    <w:p w:rsidR="00DF4F0B" w:rsidRPr="00F11525" w:rsidRDefault="00B6171A" w:rsidP="00BC2333">
      <w:pPr>
        <w:pStyle w:val="ListParagraph"/>
        <w:ind w:left="360"/>
        <w:rPr>
          <w:rFonts w:asciiTheme="minorHAnsi" w:hAnsiTheme="minorHAnsi" w:cstheme="minorBidi"/>
          <w:color w:val="C00000"/>
          <w:sz w:val="24"/>
        </w:rPr>
      </w:pPr>
      <w:r w:rsidRPr="00F11525">
        <w:rPr>
          <w:rFonts w:asciiTheme="minorHAnsi" w:hAnsiTheme="minorHAnsi" w:cstheme="minorBidi"/>
          <w:color w:val="C00000"/>
          <w:sz w:val="24"/>
        </w:rPr>
        <w:t>Reference question #4 of this Addendum.</w:t>
      </w:r>
    </w:p>
    <w:p w:rsidR="00ED7C03" w:rsidRPr="00F11525" w:rsidRDefault="00ED7C03" w:rsidP="00BC2333">
      <w:pPr>
        <w:pStyle w:val="Heading1"/>
        <w:ind w:left="360"/>
        <w:rPr>
          <w:sz w:val="28"/>
        </w:rPr>
      </w:pPr>
    </w:p>
    <w:p w:rsidR="00ED7C03" w:rsidRPr="00F11525" w:rsidRDefault="00ED7C03" w:rsidP="00DC2A94">
      <w:pPr>
        <w:pStyle w:val="Heading1"/>
        <w:ind w:left="-90"/>
        <w:rPr>
          <w:sz w:val="28"/>
        </w:rPr>
      </w:pPr>
    </w:p>
    <w:p w:rsidR="00ED7C03" w:rsidRPr="00F11525" w:rsidRDefault="00ED7C03" w:rsidP="00DC2A94">
      <w:pPr>
        <w:pStyle w:val="Heading1"/>
        <w:ind w:left="-90"/>
        <w:rPr>
          <w:sz w:val="28"/>
        </w:rPr>
      </w:pPr>
    </w:p>
    <w:p w:rsidR="00ED7C03" w:rsidRPr="00F11525" w:rsidRDefault="00ED7C03" w:rsidP="00DC2A94">
      <w:pPr>
        <w:pStyle w:val="Heading1"/>
        <w:ind w:left="-90"/>
        <w:rPr>
          <w:sz w:val="28"/>
        </w:rPr>
      </w:pPr>
    </w:p>
    <w:p w:rsidR="00ED7C03" w:rsidRPr="00F11525" w:rsidRDefault="00ED7C03" w:rsidP="00DC2A94">
      <w:pPr>
        <w:pStyle w:val="Heading1"/>
        <w:ind w:left="-90"/>
        <w:rPr>
          <w:sz w:val="28"/>
        </w:rPr>
      </w:pPr>
    </w:p>
    <w:sectPr w:rsidR="00ED7C03" w:rsidRPr="00F11525" w:rsidSect="00DF4F0B">
      <w:footerReference w:type="default" r:id="rId8"/>
      <w:pgSz w:w="12240" w:h="15840"/>
      <w:pgMar w:top="72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5F" w:rsidRDefault="00D20C5F" w:rsidP="007D60F7">
      <w:pPr>
        <w:spacing w:after="0" w:line="240" w:lineRule="auto"/>
      </w:pPr>
      <w:r>
        <w:separator/>
      </w:r>
    </w:p>
  </w:endnote>
  <w:endnote w:type="continuationSeparator" w:id="0">
    <w:p w:rsidR="00D20C5F" w:rsidRDefault="00D20C5F" w:rsidP="007D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215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65EB" w:rsidRDefault="00C965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965E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</w:t>
        </w:r>
      </w:p>
    </w:sdtContent>
  </w:sdt>
  <w:p w:rsidR="007D60F7" w:rsidRDefault="007D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5F" w:rsidRDefault="00D20C5F" w:rsidP="007D60F7">
      <w:pPr>
        <w:spacing w:after="0" w:line="240" w:lineRule="auto"/>
      </w:pPr>
      <w:r>
        <w:separator/>
      </w:r>
    </w:p>
  </w:footnote>
  <w:footnote w:type="continuationSeparator" w:id="0">
    <w:p w:rsidR="00D20C5F" w:rsidRDefault="00D20C5F" w:rsidP="007D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70"/>
    <w:multiLevelType w:val="hybridMultilevel"/>
    <w:tmpl w:val="9F18CBE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9A4799"/>
    <w:multiLevelType w:val="hybridMultilevel"/>
    <w:tmpl w:val="00DA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10C"/>
    <w:multiLevelType w:val="multilevel"/>
    <w:tmpl w:val="734818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8031E"/>
    <w:multiLevelType w:val="multilevel"/>
    <w:tmpl w:val="61BE45B0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2A52A6"/>
    <w:multiLevelType w:val="hybridMultilevel"/>
    <w:tmpl w:val="E5185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56C2"/>
    <w:multiLevelType w:val="multilevel"/>
    <w:tmpl w:val="14685B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37034"/>
    <w:multiLevelType w:val="hybridMultilevel"/>
    <w:tmpl w:val="FC783B8C"/>
    <w:lvl w:ilvl="0" w:tplc="57EA36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4D6D"/>
    <w:multiLevelType w:val="multilevel"/>
    <w:tmpl w:val="45F41F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F1A41"/>
    <w:multiLevelType w:val="hybridMultilevel"/>
    <w:tmpl w:val="E1BC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2A66"/>
    <w:multiLevelType w:val="hybridMultilevel"/>
    <w:tmpl w:val="1D14D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3EE9"/>
    <w:multiLevelType w:val="hybridMultilevel"/>
    <w:tmpl w:val="5CD25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113"/>
    <w:multiLevelType w:val="multilevel"/>
    <w:tmpl w:val="3EFCB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586805"/>
    <w:multiLevelType w:val="multilevel"/>
    <w:tmpl w:val="9DE8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91DA9"/>
    <w:multiLevelType w:val="hybridMultilevel"/>
    <w:tmpl w:val="B84CD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00A"/>
    <w:multiLevelType w:val="hybridMultilevel"/>
    <w:tmpl w:val="DB887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23930"/>
    <w:multiLevelType w:val="hybridMultilevel"/>
    <w:tmpl w:val="531A9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9747B"/>
    <w:multiLevelType w:val="hybridMultilevel"/>
    <w:tmpl w:val="76AE8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1A6B"/>
    <w:multiLevelType w:val="hybridMultilevel"/>
    <w:tmpl w:val="1E643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2B6"/>
    <w:multiLevelType w:val="multilevel"/>
    <w:tmpl w:val="62F01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557E5"/>
    <w:multiLevelType w:val="multilevel"/>
    <w:tmpl w:val="5A2C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C1F05"/>
    <w:multiLevelType w:val="hybridMultilevel"/>
    <w:tmpl w:val="5CA0E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7116F"/>
    <w:multiLevelType w:val="hybridMultilevel"/>
    <w:tmpl w:val="42505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21"/>
  </w:num>
  <w:num w:numId="8">
    <w:abstractNumId w:val="1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AC"/>
    <w:rsid w:val="00005F5F"/>
    <w:rsid w:val="00027E82"/>
    <w:rsid w:val="000651FE"/>
    <w:rsid w:val="000E2AF5"/>
    <w:rsid w:val="00146C70"/>
    <w:rsid w:val="00170764"/>
    <w:rsid w:val="001A021C"/>
    <w:rsid w:val="001B184B"/>
    <w:rsid w:val="002C442C"/>
    <w:rsid w:val="003060AA"/>
    <w:rsid w:val="003650F3"/>
    <w:rsid w:val="003E240A"/>
    <w:rsid w:val="00403186"/>
    <w:rsid w:val="00420320"/>
    <w:rsid w:val="00425E5A"/>
    <w:rsid w:val="00437132"/>
    <w:rsid w:val="00453386"/>
    <w:rsid w:val="00454BCE"/>
    <w:rsid w:val="004B5C08"/>
    <w:rsid w:val="004D7448"/>
    <w:rsid w:val="004E2EF4"/>
    <w:rsid w:val="004F78AB"/>
    <w:rsid w:val="00500DFF"/>
    <w:rsid w:val="00503F93"/>
    <w:rsid w:val="0052381F"/>
    <w:rsid w:val="00572E66"/>
    <w:rsid w:val="006113A8"/>
    <w:rsid w:val="006A280D"/>
    <w:rsid w:val="006C7F6E"/>
    <w:rsid w:val="006D2E90"/>
    <w:rsid w:val="007203C0"/>
    <w:rsid w:val="00794816"/>
    <w:rsid w:val="0079548B"/>
    <w:rsid w:val="007D60F7"/>
    <w:rsid w:val="007F4D12"/>
    <w:rsid w:val="00821384"/>
    <w:rsid w:val="00900161"/>
    <w:rsid w:val="00906B75"/>
    <w:rsid w:val="00951C31"/>
    <w:rsid w:val="009C2E8E"/>
    <w:rsid w:val="00A73961"/>
    <w:rsid w:val="00A73B17"/>
    <w:rsid w:val="00B15EC4"/>
    <w:rsid w:val="00B264EF"/>
    <w:rsid w:val="00B27AAA"/>
    <w:rsid w:val="00B56E5E"/>
    <w:rsid w:val="00B6171A"/>
    <w:rsid w:val="00BA0371"/>
    <w:rsid w:val="00BC2333"/>
    <w:rsid w:val="00BF61FB"/>
    <w:rsid w:val="00BF749E"/>
    <w:rsid w:val="00C0243D"/>
    <w:rsid w:val="00C61CF3"/>
    <w:rsid w:val="00C86F97"/>
    <w:rsid w:val="00C965EB"/>
    <w:rsid w:val="00CD115D"/>
    <w:rsid w:val="00CE2565"/>
    <w:rsid w:val="00D20C5F"/>
    <w:rsid w:val="00D44052"/>
    <w:rsid w:val="00DC2A94"/>
    <w:rsid w:val="00DD1DAC"/>
    <w:rsid w:val="00DF4F0B"/>
    <w:rsid w:val="00E2415B"/>
    <w:rsid w:val="00E420F2"/>
    <w:rsid w:val="00EA2453"/>
    <w:rsid w:val="00EA511F"/>
    <w:rsid w:val="00EA5E7C"/>
    <w:rsid w:val="00ED7C03"/>
    <w:rsid w:val="00F028B6"/>
    <w:rsid w:val="00F02E2D"/>
    <w:rsid w:val="00F03137"/>
    <w:rsid w:val="00F11525"/>
    <w:rsid w:val="00F12156"/>
    <w:rsid w:val="00FC08B2"/>
    <w:rsid w:val="00FE4181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FE1D"/>
  <w15:chartTrackingRefBased/>
  <w15:docId w15:val="{5E6728E8-5A6F-4ED9-907E-0A5B9D5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AC"/>
  </w:style>
  <w:style w:type="paragraph" w:styleId="Heading1">
    <w:name w:val="heading 1"/>
    <w:basedOn w:val="Normal"/>
    <w:next w:val="Normal"/>
    <w:link w:val="Heading1Char"/>
    <w:uiPriority w:val="9"/>
    <w:qFormat/>
    <w:rsid w:val="00146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1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6C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46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27AAA"/>
    <w:rPr>
      <w:color w:val="0563C1"/>
      <w:u w:val="single"/>
    </w:rPr>
  </w:style>
  <w:style w:type="table" w:styleId="TableGrid">
    <w:name w:val="Table Grid"/>
    <w:basedOn w:val="TableNormal"/>
    <w:uiPriority w:val="39"/>
    <w:rsid w:val="00EA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5E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F7"/>
  </w:style>
  <w:style w:type="paragraph" w:styleId="Footer">
    <w:name w:val="footer"/>
    <w:basedOn w:val="Normal"/>
    <w:link w:val="FooterChar"/>
    <w:uiPriority w:val="99"/>
    <w:unhideWhenUsed/>
    <w:rsid w:val="007D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F7"/>
  </w:style>
  <w:style w:type="paragraph" w:customStyle="1" w:styleId="xmsonormal">
    <w:name w:val="x_msonormal"/>
    <w:basedOn w:val="Normal"/>
    <w:rsid w:val="00454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454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454BCE"/>
  </w:style>
  <w:style w:type="character" w:customStyle="1" w:styleId="xeop">
    <w:name w:val="x_eop"/>
    <w:basedOn w:val="DefaultParagraphFont"/>
    <w:rsid w:val="0045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Lakota Local Schools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Gayotin</dc:creator>
  <cp:keywords/>
  <dc:description/>
  <cp:lastModifiedBy>Veronica Gayotin</cp:lastModifiedBy>
  <cp:revision>26</cp:revision>
  <cp:lastPrinted>2022-02-16T18:07:00Z</cp:lastPrinted>
  <dcterms:created xsi:type="dcterms:W3CDTF">2022-02-14T20:59:00Z</dcterms:created>
  <dcterms:modified xsi:type="dcterms:W3CDTF">2022-02-17T19:24:00Z</dcterms:modified>
</cp:coreProperties>
</file>