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To:</w:t>
      </w:r>
      <w:r w:rsidRPr="00C44581">
        <w:rPr>
          <w:sz w:val="24"/>
          <w:szCs w:val="24"/>
        </w:rPr>
        <w:t xml:space="preserve"> </w:t>
      </w:r>
      <w:r w:rsidRPr="00C44581">
        <w:rPr>
          <w:sz w:val="24"/>
          <w:szCs w:val="24"/>
        </w:rPr>
        <w:tab/>
      </w:r>
      <w:r w:rsidRPr="00C44581">
        <w:rPr>
          <w:sz w:val="24"/>
          <w:szCs w:val="24"/>
        </w:rPr>
        <w:tab/>
        <w:t>Dr. Douglas Howell, Superintendent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3E5C">
        <w:rPr>
          <w:sz w:val="24"/>
          <w:szCs w:val="24"/>
        </w:rPr>
        <w:t>Jonathan R. Balls</w:t>
      </w:r>
      <w:r>
        <w:rPr>
          <w:sz w:val="24"/>
          <w:szCs w:val="24"/>
        </w:rPr>
        <w:t>, Director of Business Operations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3E5C">
        <w:rPr>
          <w:sz w:val="24"/>
          <w:szCs w:val="24"/>
        </w:rPr>
        <w:t>February 15, 2022</w:t>
      </w:r>
    </w:p>
    <w:p w:rsidR="00C44581" w:rsidRDefault="00C44581" w:rsidP="00C44581">
      <w:pPr>
        <w:rPr>
          <w:sz w:val="24"/>
          <w:szCs w:val="24"/>
        </w:rPr>
      </w:pPr>
    </w:p>
    <w:p w:rsidR="00C44581" w:rsidRPr="00C44581" w:rsidRDefault="00C44581" w:rsidP="00C44581">
      <w:pPr>
        <w:rPr>
          <w:b/>
          <w:sz w:val="24"/>
          <w:szCs w:val="24"/>
        </w:rPr>
      </w:pPr>
      <w:r w:rsidRPr="00C44581">
        <w:rPr>
          <w:b/>
          <w:sz w:val="24"/>
          <w:szCs w:val="24"/>
        </w:rPr>
        <w:t xml:space="preserve">RE: </w:t>
      </w:r>
      <w:r w:rsidRPr="00C44581">
        <w:rPr>
          <w:b/>
          <w:sz w:val="24"/>
          <w:szCs w:val="24"/>
        </w:rPr>
        <w:tab/>
      </w:r>
      <w:r w:rsidRPr="00C44581">
        <w:rPr>
          <w:b/>
          <w:sz w:val="24"/>
          <w:szCs w:val="24"/>
        </w:rPr>
        <w:tab/>
      </w:r>
      <w:r w:rsidR="00823E5C">
        <w:rPr>
          <w:b/>
          <w:sz w:val="24"/>
          <w:szCs w:val="24"/>
        </w:rPr>
        <w:t>I</w:t>
      </w:r>
      <w:r w:rsidR="00823E5C" w:rsidRPr="00823E5C">
        <w:rPr>
          <w:b/>
          <w:sz w:val="24"/>
          <w:szCs w:val="24"/>
        </w:rPr>
        <w:t>NTERNET ACCESS</w:t>
      </w:r>
      <w:r w:rsidR="006A6EBD">
        <w:rPr>
          <w:b/>
        </w:rPr>
        <w:t xml:space="preserve"> </w:t>
      </w:r>
    </w:p>
    <w:p w:rsidR="00C44581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Default="00C44581" w:rsidP="00C44581">
      <w:pPr>
        <w:jc w:val="both"/>
        <w:rPr>
          <w:sz w:val="24"/>
          <w:szCs w:val="24"/>
        </w:rPr>
      </w:pPr>
    </w:p>
    <w:p w:rsidR="0034270D" w:rsidRDefault="0034270D" w:rsidP="00C44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23E5C">
        <w:rPr>
          <w:sz w:val="24"/>
          <w:szCs w:val="24"/>
        </w:rPr>
        <w:t>February 10</w:t>
      </w:r>
      <w:r>
        <w:rPr>
          <w:sz w:val="24"/>
          <w:szCs w:val="24"/>
        </w:rPr>
        <w:t>, 202</w:t>
      </w:r>
      <w:r w:rsidR="00A40678">
        <w:rPr>
          <w:sz w:val="24"/>
          <w:szCs w:val="24"/>
        </w:rPr>
        <w:t>2</w:t>
      </w:r>
      <w:r>
        <w:rPr>
          <w:sz w:val="24"/>
          <w:szCs w:val="24"/>
        </w:rPr>
        <w:t xml:space="preserve">, bids were opened for </w:t>
      </w:r>
      <w:r w:rsidR="00823E5C">
        <w:rPr>
          <w:sz w:val="24"/>
          <w:szCs w:val="24"/>
        </w:rPr>
        <w:t>Internet Access</w:t>
      </w:r>
      <w:r>
        <w:rPr>
          <w:sz w:val="24"/>
          <w:szCs w:val="24"/>
        </w:rPr>
        <w:t xml:space="preserve">. </w:t>
      </w:r>
      <w:r w:rsidR="008B73A2">
        <w:rPr>
          <w:sz w:val="24"/>
          <w:szCs w:val="24"/>
        </w:rPr>
        <w:t>Seven</w:t>
      </w:r>
      <w:r>
        <w:rPr>
          <w:sz w:val="24"/>
          <w:szCs w:val="24"/>
        </w:rPr>
        <w:t xml:space="preserve"> (</w:t>
      </w:r>
      <w:r w:rsidR="008B73A2">
        <w:rPr>
          <w:sz w:val="24"/>
          <w:szCs w:val="24"/>
        </w:rPr>
        <w:t>7</w:t>
      </w:r>
      <w:r>
        <w:rPr>
          <w:sz w:val="24"/>
          <w:szCs w:val="24"/>
        </w:rPr>
        <w:t>) vendors were invited to bid. Bids from</w:t>
      </w:r>
      <w:r w:rsidR="006005B2">
        <w:rPr>
          <w:sz w:val="24"/>
          <w:szCs w:val="24"/>
        </w:rPr>
        <w:t xml:space="preserve"> </w:t>
      </w:r>
      <w:r w:rsidR="006A6EBD">
        <w:rPr>
          <w:sz w:val="24"/>
          <w:szCs w:val="24"/>
        </w:rPr>
        <w:t>three</w:t>
      </w:r>
      <w:r w:rsidR="007846D7">
        <w:rPr>
          <w:sz w:val="24"/>
          <w:szCs w:val="24"/>
        </w:rPr>
        <w:t xml:space="preserve"> (</w:t>
      </w:r>
      <w:r w:rsidR="006A6EBD">
        <w:rPr>
          <w:sz w:val="24"/>
          <w:szCs w:val="24"/>
        </w:rPr>
        <w:t>3</w:t>
      </w:r>
      <w:r w:rsidR="007846D7">
        <w:rPr>
          <w:sz w:val="24"/>
          <w:szCs w:val="24"/>
        </w:rPr>
        <w:t xml:space="preserve">) </w:t>
      </w:r>
      <w:r>
        <w:rPr>
          <w:sz w:val="24"/>
          <w:szCs w:val="24"/>
        </w:rPr>
        <w:t>vendor</w:t>
      </w:r>
      <w:r w:rsidR="006005B2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6005B2">
        <w:rPr>
          <w:sz w:val="24"/>
          <w:szCs w:val="24"/>
        </w:rPr>
        <w:t>ere</w:t>
      </w:r>
      <w:r>
        <w:rPr>
          <w:sz w:val="24"/>
          <w:szCs w:val="24"/>
        </w:rPr>
        <w:t xml:space="preserve"> received as shown below. The lowest responsible bid is highlighted.</w:t>
      </w:r>
    </w:p>
    <w:p w:rsidR="00774450" w:rsidRPr="008B73A2" w:rsidRDefault="00774450" w:rsidP="00C4458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W w:w="7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784"/>
        <w:gridCol w:w="1906"/>
        <w:gridCol w:w="1424"/>
        <w:gridCol w:w="1980"/>
      </w:tblGrid>
      <w:tr w:rsidR="008B73A2" w:rsidRPr="008B73A2" w:rsidTr="0047618F">
        <w:trPr>
          <w:gridBefore w:val="1"/>
          <w:wBefore w:w="8" w:type="dxa"/>
          <w:trHeight w:val="432"/>
        </w:trPr>
        <w:tc>
          <w:tcPr>
            <w:tcW w:w="1784" w:type="dxa"/>
            <w:shd w:val="clear" w:color="auto" w:fill="auto"/>
            <w:vAlign w:val="center"/>
          </w:tcPr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B73A2">
              <w:rPr>
                <w:rFonts w:asciiTheme="majorHAnsi" w:hAnsiTheme="majorHAnsi" w:cstheme="majorHAnsi"/>
                <w:b/>
                <w:bCs/>
                <w:szCs w:val="24"/>
              </w:rPr>
              <w:t>Levels of Service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B73A2">
              <w:rPr>
                <w:rFonts w:asciiTheme="majorHAnsi" w:hAnsiTheme="majorHAnsi" w:cstheme="majorHAnsi"/>
                <w:b/>
                <w:bCs/>
                <w:szCs w:val="24"/>
              </w:rPr>
              <w:t>Direct Communications</w:t>
            </w:r>
          </w:p>
          <w:p w:rsidR="008B73A2" w:rsidRPr="008B73A2" w:rsidRDefault="0047618F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Rockland</w:t>
            </w:r>
            <w:r w:rsidR="008B73A2" w:rsidRPr="008B73A2">
              <w:rPr>
                <w:rFonts w:asciiTheme="majorHAnsi" w:hAnsiTheme="majorHAnsi" w:cstheme="majorHAnsi"/>
                <w:b/>
                <w:bCs/>
                <w:szCs w:val="24"/>
              </w:rPr>
              <w:t>, ID</w:t>
            </w:r>
          </w:p>
        </w:tc>
        <w:tc>
          <w:tcPr>
            <w:tcW w:w="1424" w:type="dxa"/>
            <w:tcBorders>
              <w:bottom w:val="single" w:sz="6" w:space="0" w:color="auto"/>
            </w:tcBorders>
            <w:vAlign w:val="center"/>
          </w:tcPr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B73A2">
              <w:rPr>
                <w:rFonts w:asciiTheme="majorHAnsi" w:hAnsiTheme="majorHAnsi" w:cstheme="majorHAnsi"/>
                <w:b/>
                <w:bCs/>
                <w:szCs w:val="24"/>
              </w:rPr>
              <w:t>ENA</w:t>
            </w:r>
          </w:p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B73A2">
              <w:rPr>
                <w:rFonts w:asciiTheme="majorHAnsi" w:hAnsiTheme="majorHAnsi" w:cstheme="majorHAnsi"/>
                <w:b/>
                <w:bCs/>
                <w:szCs w:val="24"/>
              </w:rPr>
              <w:t>Boise, ID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8B73A2">
              <w:rPr>
                <w:rFonts w:asciiTheme="majorHAnsi" w:hAnsiTheme="majorHAnsi" w:cstheme="majorHAnsi"/>
                <w:b/>
                <w:bCs/>
                <w:szCs w:val="24"/>
              </w:rPr>
              <w:t>Fat Beam</w:t>
            </w:r>
          </w:p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proofErr w:type="spellStart"/>
            <w:r w:rsidRPr="008B73A2">
              <w:rPr>
                <w:rFonts w:asciiTheme="majorHAnsi" w:hAnsiTheme="majorHAnsi" w:cstheme="majorHAnsi"/>
                <w:b/>
                <w:bCs/>
                <w:szCs w:val="24"/>
              </w:rPr>
              <w:t>Couer</w:t>
            </w:r>
            <w:proofErr w:type="spellEnd"/>
            <w:r w:rsidRPr="008B73A2">
              <w:rPr>
                <w:rFonts w:asciiTheme="majorHAnsi" w:hAnsiTheme="majorHAnsi" w:cstheme="majorHAnsi"/>
                <w:b/>
                <w:bCs/>
                <w:szCs w:val="24"/>
              </w:rPr>
              <w:t xml:space="preserve"> d’Alene, ID</w:t>
            </w:r>
          </w:p>
          <w:p w:rsidR="008B73A2" w:rsidRPr="008B73A2" w:rsidRDefault="008B73A2" w:rsidP="008B73A2">
            <w:pPr>
              <w:pStyle w:val="BodyText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8B73A2" w:rsidRPr="008B73A2" w:rsidTr="0047618F">
        <w:trPr>
          <w:trHeight w:val="432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8B73A2" w:rsidRPr="008B73A2" w:rsidRDefault="008B73A2" w:rsidP="008B73A2">
            <w:pPr>
              <w:pStyle w:val="BodyText"/>
              <w:jc w:val="left"/>
              <w:rPr>
                <w:rFonts w:asciiTheme="majorHAnsi" w:hAnsiTheme="majorHAnsi" w:cstheme="majorHAnsi"/>
                <w:bCs/>
                <w:szCs w:val="24"/>
              </w:rPr>
            </w:pPr>
            <w:r w:rsidRPr="008B73A2">
              <w:rPr>
                <w:rFonts w:asciiTheme="majorHAnsi" w:hAnsiTheme="majorHAnsi" w:cstheme="majorHAnsi"/>
                <w:bCs/>
                <w:szCs w:val="24"/>
              </w:rPr>
              <w:t>5</w:t>
            </w:r>
            <w:r>
              <w:rPr>
                <w:rFonts w:asciiTheme="majorHAnsi" w:hAnsiTheme="majorHAnsi" w:cstheme="majorHAnsi"/>
                <w:bCs/>
                <w:szCs w:val="24"/>
              </w:rPr>
              <w:t>,</w:t>
            </w:r>
            <w:r w:rsidRPr="008B73A2">
              <w:rPr>
                <w:rFonts w:asciiTheme="majorHAnsi" w:hAnsiTheme="majorHAnsi" w:cstheme="majorHAnsi"/>
                <w:bCs/>
                <w:szCs w:val="24"/>
              </w:rPr>
              <w:t>000 mbps 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B73A2" w:rsidRPr="008B73A2" w:rsidRDefault="008B73A2" w:rsidP="0047618F">
            <w:pPr>
              <w:pStyle w:val="BodyText"/>
              <w:jc w:val="center"/>
              <w:rPr>
                <w:rFonts w:asciiTheme="majorHAnsi" w:hAnsiTheme="majorHAnsi" w:cstheme="majorHAnsi"/>
                <w:szCs w:val="24"/>
              </w:rPr>
            </w:pPr>
            <w:r w:rsidRPr="008B73A2">
              <w:rPr>
                <w:rFonts w:asciiTheme="majorHAnsi" w:hAnsiTheme="majorHAnsi" w:cstheme="majorHAnsi"/>
                <w:szCs w:val="24"/>
              </w:rPr>
              <w:t>$3,699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73A2" w:rsidRPr="008B73A2" w:rsidRDefault="0047618F" w:rsidP="0047618F">
            <w:pPr>
              <w:pStyle w:val="BodyText"/>
              <w:jc w:val="center"/>
              <w:rPr>
                <w:rFonts w:asciiTheme="majorHAnsi" w:hAnsiTheme="majorHAnsi" w:cstheme="majorHAnsi"/>
                <w:szCs w:val="24"/>
              </w:rPr>
            </w:pPr>
            <w:r w:rsidRPr="008B73A2">
              <w:rPr>
                <w:rFonts w:asciiTheme="majorHAnsi" w:hAnsiTheme="majorHAnsi" w:cstheme="majorHAnsi"/>
                <w:szCs w:val="24"/>
              </w:rPr>
              <w:t>$</w:t>
            </w:r>
            <w:r>
              <w:rPr>
                <w:rFonts w:asciiTheme="majorHAnsi" w:hAnsiTheme="majorHAnsi" w:cstheme="majorHAnsi"/>
                <w:szCs w:val="24"/>
              </w:rPr>
              <w:t>5</w:t>
            </w:r>
            <w:r w:rsidRPr="008B73A2">
              <w:rPr>
                <w:rFonts w:asciiTheme="majorHAnsi" w:hAnsiTheme="majorHAnsi" w:cstheme="majorHAnsi"/>
                <w:szCs w:val="24"/>
              </w:rPr>
              <w:t>,</w:t>
            </w:r>
            <w:r>
              <w:rPr>
                <w:rFonts w:asciiTheme="majorHAnsi" w:hAnsiTheme="majorHAnsi" w:cstheme="majorHAnsi"/>
                <w:szCs w:val="24"/>
              </w:rPr>
              <w:t>325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8B73A2" w:rsidRPr="008B73A2" w:rsidRDefault="008B73A2" w:rsidP="0047618F">
            <w:pPr>
              <w:pStyle w:val="BodyText"/>
              <w:jc w:val="center"/>
              <w:rPr>
                <w:rFonts w:asciiTheme="majorHAnsi" w:hAnsiTheme="majorHAnsi" w:cstheme="majorHAnsi"/>
                <w:szCs w:val="24"/>
              </w:rPr>
            </w:pPr>
            <w:r w:rsidRPr="008B73A2">
              <w:rPr>
                <w:rFonts w:asciiTheme="majorHAnsi" w:hAnsiTheme="majorHAnsi" w:cstheme="majorHAnsi"/>
                <w:szCs w:val="24"/>
              </w:rPr>
              <w:t>$2,800</w:t>
            </w:r>
          </w:p>
        </w:tc>
      </w:tr>
    </w:tbl>
    <w:p w:rsidR="0034270D" w:rsidRDefault="0034270D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</w:p>
    <w:p w:rsidR="008B73A2" w:rsidRDefault="008B73A2" w:rsidP="00C44581">
      <w:pPr>
        <w:jc w:val="both"/>
        <w:rPr>
          <w:sz w:val="24"/>
          <w:szCs w:val="24"/>
        </w:rPr>
      </w:pPr>
      <w:r>
        <w:rPr>
          <w:sz w:val="24"/>
          <w:szCs w:val="24"/>
        </w:rPr>
        <w:t>*Cost per month before E-rate discount</w:t>
      </w:r>
    </w:p>
    <w:p w:rsidR="008B73A2" w:rsidRDefault="008B73A2" w:rsidP="00C44581">
      <w:pPr>
        <w:jc w:val="both"/>
        <w:rPr>
          <w:sz w:val="24"/>
          <w:szCs w:val="24"/>
        </w:rPr>
      </w:pPr>
    </w:p>
    <w:p w:rsidR="00A40678" w:rsidRDefault="00A40678" w:rsidP="008B73A2">
      <w:pPr>
        <w:rPr>
          <w:sz w:val="24"/>
          <w:szCs w:val="24"/>
        </w:rPr>
      </w:pPr>
      <w:r>
        <w:rPr>
          <w:sz w:val="24"/>
          <w:szCs w:val="24"/>
        </w:rPr>
        <w:t>Bids were evaluated on price, suitability of technical proposal</w:t>
      </w:r>
      <w:r w:rsidR="008B73A2">
        <w:rPr>
          <w:sz w:val="24"/>
          <w:szCs w:val="24"/>
        </w:rPr>
        <w:t xml:space="preserve">, vendor experience/capability,       </w:t>
      </w:r>
      <w:r>
        <w:rPr>
          <w:sz w:val="24"/>
          <w:szCs w:val="24"/>
        </w:rPr>
        <w:t xml:space="preserve">E-rate eligibility, and fiscal integrity.   </w:t>
      </w:r>
      <w:r w:rsidR="008B73A2">
        <w:rPr>
          <w:sz w:val="24"/>
          <w:szCs w:val="24"/>
        </w:rPr>
        <w:t>Fat Beam r</w:t>
      </w:r>
      <w:r>
        <w:rPr>
          <w:sz w:val="24"/>
          <w:szCs w:val="24"/>
        </w:rPr>
        <w:t>eceived the overall highest score.</w:t>
      </w:r>
    </w:p>
    <w:p w:rsidR="000761C3" w:rsidRDefault="000761C3" w:rsidP="00DC0CAC">
      <w:pPr>
        <w:rPr>
          <w:b/>
        </w:rPr>
      </w:pPr>
    </w:p>
    <w:p w:rsidR="00DC0CAC" w:rsidRPr="0034270D" w:rsidRDefault="00DC0CAC" w:rsidP="00DC0CAC">
      <w:pPr>
        <w:rPr>
          <w:sz w:val="24"/>
          <w:szCs w:val="24"/>
        </w:rPr>
      </w:pPr>
      <w:r w:rsidRPr="0034270D">
        <w:rPr>
          <w:b/>
          <w:sz w:val="24"/>
          <w:szCs w:val="24"/>
        </w:rPr>
        <w:t>Board Action Requested:</w:t>
      </w:r>
      <w:r w:rsidRPr="0034270D">
        <w:rPr>
          <w:bCs/>
          <w:sz w:val="24"/>
          <w:szCs w:val="24"/>
        </w:rPr>
        <w:t xml:space="preserve">  </w:t>
      </w:r>
      <w:r w:rsidR="0034270D">
        <w:rPr>
          <w:bCs/>
          <w:sz w:val="24"/>
          <w:szCs w:val="24"/>
        </w:rPr>
        <w:t xml:space="preserve">Motion to award </w:t>
      </w:r>
      <w:r w:rsidR="00F92472">
        <w:rPr>
          <w:bCs/>
          <w:sz w:val="24"/>
          <w:szCs w:val="24"/>
        </w:rPr>
        <w:t>bid</w:t>
      </w:r>
      <w:r w:rsidR="00EC0E83">
        <w:rPr>
          <w:bCs/>
          <w:sz w:val="24"/>
          <w:szCs w:val="24"/>
        </w:rPr>
        <w:t xml:space="preserve"> to </w:t>
      </w:r>
      <w:r w:rsidR="008B73A2">
        <w:rPr>
          <w:bCs/>
          <w:sz w:val="24"/>
          <w:szCs w:val="24"/>
        </w:rPr>
        <w:t xml:space="preserve">Fat Beam </w:t>
      </w:r>
      <w:r w:rsidR="00A40678">
        <w:rPr>
          <w:bCs/>
          <w:sz w:val="24"/>
          <w:szCs w:val="24"/>
        </w:rPr>
        <w:t xml:space="preserve">in </w:t>
      </w:r>
      <w:r w:rsidR="003B0573">
        <w:rPr>
          <w:bCs/>
          <w:sz w:val="24"/>
          <w:szCs w:val="24"/>
        </w:rPr>
        <w:t>the amount</w:t>
      </w:r>
      <w:r w:rsidR="002B6CFD">
        <w:rPr>
          <w:bCs/>
          <w:sz w:val="24"/>
          <w:szCs w:val="24"/>
        </w:rPr>
        <w:t xml:space="preserve"> of $</w:t>
      </w:r>
      <w:r w:rsidR="008B73A2">
        <w:rPr>
          <w:bCs/>
          <w:sz w:val="24"/>
          <w:szCs w:val="24"/>
        </w:rPr>
        <w:t>2,800</w:t>
      </w:r>
      <w:r w:rsidR="0047618F">
        <w:rPr>
          <w:bCs/>
          <w:sz w:val="24"/>
          <w:szCs w:val="24"/>
        </w:rPr>
        <w:t xml:space="preserve"> per month beginning July 1, 2022</w:t>
      </w:r>
      <w:r w:rsidR="002B6CFD">
        <w:rPr>
          <w:bCs/>
          <w:sz w:val="24"/>
          <w:szCs w:val="24"/>
        </w:rPr>
        <w:t xml:space="preserve">. </w:t>
      </w:r>
    </w:p>
    <w:p w:rsidR="00C44581" w:rsidRPr="00C44581" w:rsidRDefault="00C44581" w:rsidP="00DC0CAC">
      <w:pPr>
        <w:jc w:val="both"/>
        <w:rPr>
          <w:sz w:val="24"/>
          <w:szCs w:val="24"/>
        </w:rPr>
      </w:pPr>
      <w:bookmarkStart w:id="0" w:name="_GoBack"/>
      <w:bookmarkEnd w:id="0"/>
    </w:p>
    <w:sectPr w:rsidR="00C44581" w:rsidRPr="00C4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3313F"/>
    <w:rsid w:val="000717DE"/>
    <w:rsid w:val="000761C3"/>
    <w:rsid w:val="001138ED"/>
    <w:rsid w:val="002B6CFD"/>
    <w:rsid w:val="0034270D"/>
    <w:rsid w:val="00354754"/>
    <w:rsid w:val="003B0573"/>
    <w:rsid w:val="003F600F"/>
    <w:rsid w:val="00425FB0"/>
    <w:rsid w:val="0047618F"/>
    <w:rsid w:val="0054195C"/>
    <w:rsid w:val="006005B2"/>
    <w:rsid w:val="006A6EBD"/>
    <w:rsid w:val="006C484D"/>
    <w:rsid w:val="00734D9F"/>
    <w:rsid w:val="00774450"/>
    <w:rsid w:val="007846D7"/>
    <w:rsid w:val="00823E5C"/>
    <w:rsid w:val="008B5B7B"/>
    <w:rsid w:val="008B73A2"/>
    <w:rsid w:val="00A21BB5"/>
    <w:rsid w:val="00A40678"/>
    <w:rsid w:val="00A6476F"/>
    <w:rsid w:val="00AC0D95"/>
    <w:rsid w:val="00B50FD1"/>
    <w:rsid w:val="00C36C65"/>
    <w:rsid w:val="00C44581"/>
    <w:rsid w:val="00DC0CAC"/>
    <w:rsid w:val="00E137B7"/>
    <w:rsid w:val="00EC0E83"/>
    <w:rsid w:val="00F646BC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1528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3A2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73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Jolene Smith</cp:lastModifiedBy>
  <cp:revision>5</cp:revision>
  <cp:lastPrinted>2021-04-14T22:22:00Z</cp:lastPrinted>
  <dcterms:created xsi:type="dcterms:W3CDTF">2022-02-08T22:08:00Z</dcterms:created>
  <dcterms:modified xsi:type="dcterms:W3CDTF">2022-02-10T20:25:00Z</dcterms:modified>
</cp:coreProperties>
</file>